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ascii="仿宋_GB2312" w:eastAsia="仿宋_GB2312"/>
          <w:sz w:val="36"/>
          <w:szCs w:val="30"/>
        </w:rPr>
      </w:pPr>
      <w:r>
        <w:rPr>
          <w:rFonts w:hint="eastAsia" w:ascii="仿宋_GB2312" w:hAnsi="黑体" w:eastAsia="仿宋_GB2312"/>
          <w:b/>
          <w:sz w:val="32"/>
          <w:szCs w:val="30"/>
        </w:rPr>
        <w:t>附件2</w:t>
      </w:r>
    </w:p>
    <w:p>
      <w:pPr>
        <w:adjustRightInd w:val="0"/>
        <w:snapToGrid w:val="0"/>
        <w:spacing w:after="156" w:afterLines="50" w:line="500" w:lineRule="exact"/>
        <w:jc w:val="center"/>
        <w:rPr>
          <w:rFonts w:eastAsia="方正小标宋简体"/>
          <w:sz w:val="36"/>
          <w:szCs w:val="30"/>
        </w:rPr>
      </w:pPr>
      <w:r>
        <w:rPr>
          <w:rFonts w:hint="eastAsia" w:eastAsia="方正小标宋简体"/>
          <w:sz w:val="36"/>
          <w:szCs w:val="30"/>
        </w:rPr>
        <w:t>浙江省</w:t>
      </w:r>
      <w:r>
        <w:rPr>
          <w:rFonts w:eastAsia="方正小标宋简体"/>
          <w:sz w:val="36"/>
          <w:szCs w:val="30"/>
        </w:rPr>
        <w:t>高</w:t>
      </w:r>
      <w:r>
        <w:rPr>
          <w:rFonts w:hint="eastAsia" w:eastAsia="方正小标宋简体"/>
          <w:sz w:val="36"/>
          <w:szCs w:val="30"/>
        </w:rPr>
        <w:t>等</w:t>
      </w:r>
      <w:r>
        <w:rPr>
          <w:rFonts w:eastAsia="方正小标宋简体"/>
          <w:sz w:val="36"/>
          <w:szCs w:val="30"/>
        </w:rPr>
        <w:t>学校实验室安全检查项目</w:t>
      </w:r>
      <w:r>
        <w:rPr>
          <w:rFonts w:hint="eastAsia" w:eastAsia="方正小标宋简体"/>
          <w:sz w:val="36"/>
          <w:szCs w:val="30"/>
        </w:rPr>
        <w:t>表（2020）</w:t>
      </w:r>
    </w:p>
    <w:tbl>
      <w:tblPr>
        <w:tblStyle w:val="18"/>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5810"/>
        <w:gridCol w:w="3260"/>
        <w:gridCol w:w="599"/>
        <w:gridCol w:w="853"/>
        <w:gridCol w:w="882"/>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848" w:type="dxa"/>
            <w:vMerge w:val="restart"/>
            <w:shd w:val="clear" w:color="auto" w:fill="auto"/>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w:t>
            </w:r>
            <w:r>
              <w:rPr>
                <w:rFonts w:eastAsia="黑体"/>
                <w:b/>
                <w:bCs/>
                <w:kern w:val="0"/>
                <w:szCs w:val="21"/>
              </w:rPr>
              <w:t>要点</w:t>
            </w:r>
          </w:p>
        </w:tc>
        <w:tc>
          <w:tcPr>
            <w:tcW w:w="4454" w:type="dxa"/>
            <w:gridSpan w:val="4"/>
            <w:shd w:val="clear" w:color="auto" w:fill="auto"/>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848" w:type="dxa"/>
            <w:vMerge w:val="continue"/>
            <w:shd w:val="clear" w:color="auto" w:fill="auto"/>
            <w:tcMar>
              <w:left w:w="45" w:type="dxa"/>
              <w:right w:w="45" w:type="dxa"/>
            </w:tcMar>
            <w:vAlign w:val="center"/>
          </w:tcPr>
          <w:p>
            <w:pPr>
              <w:spacing w:line="300" w:lineRule="exact"/>
              <w:jc w:val="left"/>
              <w:rPr>
                <w:rFonts w:eastAsia="黑体"/>
                <w:b/>
                <w:bCs/>
                <w:kern w:val="0"/>
                <w:szCs w:val="21"/>
              </w:rPr>
            </w:pPr>
          </w:p>
        </w:tc>
        <w:tc>
          <w:tcPr>
            <w:tcW w:w="5810" w:type="dxa"/>
            <w:vMerge w:val="continue"/>
            <w:shd w:val="clear" w:color="auto" w:fill="auto"/>
            <w:tcMar>
              <w:left w:w="45" w:type="dxa"/>
              <w:right w:w="45" w:type="dxa"/>
            </w:tcMar>
            <w:vAlign w:val="center"/>
          </w:tcPr>
          <w:p>
            <w:pPr>
              <w:spacing w:line="300" w:lineRule="exact"/>
              <w:jc w:val="center"/>
              <w:rPr>
                <w:rFonts w:eastAsia="黑体"/>
                <w:b/>
                <w:bCs/>
                <w:kern w:val="0"/>
                <w:szCs w:val="21"/>
              </w:rPr>
            </w:pPr>
          </w:p>
        </w:tc>
        <w:tc>
          <w:tcPr>
            <w:tcW w:w="3260" w:type="dxa"/>
            <w:vMerge w:val="continue"/>
            <w:shd w:val="clear" w:color="auto" w:fill="auto"/>
            <w:tcMar>
              <w:left w:w="45" w:type="dxa"/>
              <w:right w:w="45" w:type="dxa"/>
            </w:tcMar>
            <w:vAlign w:val="center"/>
          </w:tcPr>
          <w:p>
            <w:pPr>
              <w:spacing w:line="300" w:lineRule="exact"/>
              <w:jc w:val="center"/>
              <w:rPr>
                <w:rFonts w:eastAsia="黑体"/>
                <w:b/>
                <w:bCs/>
                <w:kern w:val="0"/>
                <w:szCs w:val="21"/>
              </w:rPr>
            </w:pPr>
          </w:p>
        </w:tc>
        <w:tc>
          <w:tcPr>
            <w:tcW w:w="599" w:type="dxa"/>
            <w:shd w:val="clear" w:color="auto" w:fill="auto"/>
            <w:tcMar>
              <w:top w:w="28" w:type="dxa"/>
              <w:left w:w="45" w:type="dxa"/>
              <w:bottom w:w="28" w:type="dxa"/>
              <w:right w:w="45" w:type="dxa"/>
            </w:tcMar>
            <w:vAlign w:val="center"/>
          </w:tcPr>
          <w:p>
            <w:pPr>
              <w:spacing w:line="240" w:lineRule="exact"/>
              <w:jc w:val="center"/>
              <w:rPr>
                <w:rFonts w:eastAsia="黑体"/>
                <w:b/>
                <w:bCs/>
                <w:kern w:val="0"/>
                <w:szCs w:val="21"/>
              </w:rPr>
            </w:pPr>
            <w:r>
              <w:rPr>
                <w:rFonts w:hint="eastAsia" w:eastAsia="黑体"/>
                <w:b/>
                <w:bCs/>
                <w:kern w:val="0"/>
                <w:szCs w:val="21"/>
              </w:rPr>
              <w:t>符合</w:t>
            </w:r>
          </w:p>
        </w:tc>
        <w:tc>
          <w:tcPr>
            <w:tcW w:w="853" w:type="dxa"/>
            <w:tcMar>
              <w:top w:w="28" w:type="dxa"/>
              <w:bottom w:w="28" w:type="dxa"/>
            </w:tcMar>
            <w:vAlign w:val="center"/>
          </w:tcPr>
          <w:p>
            <w:pPr>
              <w:spacing w:line="240" w:lineRule="exact"/>
              <w:jc w:val="center"/>
              <w:rPr>
                <w:rFonts w:eastAsia="黑体"/>
                <w:b/>
                <w:bCs/>
                <w:kern w:val="0"/>
                <w:szCs w:val="21"/>
              </w:rPr>
            </w:pPr>
            <w:r>
              <w:rPr>
                <w:rFonts w:hint="eastAsia" w:eastAsia="黑体"/>
                <w:b/>
                <w:bCs/>
                <w:kern w:val="0"/>
                <w:szCs w:val="21"/>
              </w:rPr>
              <w:t>不符合</w:t>
            </w:r>
          </w:p>
        </w:tc>
        <w:tc>
          <w:tcPr>
            <w:tcW w:w="882" w:type="dxa"/>
            <w:tcMar>
              <w:top w:w="28" w:type="dxa"/>
              <w:bottom w:w="28" w:type="dxa"/>
            </w:tcMar>
            <w:vAlign w:val="center"/>
          </w:tcPr>
          <w:p>
            <w:pPr>
              <w:spacing w:line="240" w:lineRule="exact"/>
              <w:jc w:val="center"/>
              <w:rPr>
                <w:rFonts w:eastAsia="黑体"/>
                <w:b/>
                <w:bCs/>
                <w:kern w:val="0"/>
                <w:szCs w:val="21"/>
              </w:rPr>
            </w:pPr>
            <w:r>
              <w:rPr>
                <w:rFonts w:hint="eastAsia" w:eastAsia="黑体"/>
                <w:b/>
                <w:bCs/>
                <w:kern w:val="0"/>
                <w:szCs w:val="21"/>
              </w:rPr>
              <w:t>不适用</w:t>
            </w:r>
          </w:p>
        </w:tc>
        <w:tc>
          <w:tcPr>
            <w:tcW w:w="2120" w:type="dxa"/>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w:t>
            </w:r>
          </w:p>
        </w:tc>
        <w:tc>
          <w:tcPr>
            <w:tcW w:w="13524" w:type="dxa"/>
            <w:gridSpan w:val="6"/>
            <w:shd w:val="clear" w:color="auto" w:fill="auto"/>
            <w:tcMar>
              <w:left w:w="45" w:type="dxa"/>
              <w:right w:w="45" w:type="dxa"/>
            </w:tcMar>
            <w:vAlign w:val="center"/>
          </w:tcPr>
          <w:p>
            <w:pPr>
              <w:widowControl/>
              <w:spacing w:line="300" w:lineRule="exact"/>
              <w:rPr>
                <w:b/>
                <w:kern w:val="0"/>
                <w:szCs w:val="21"/>
              </w:rPr>
            </w:pPr>
            <w:r>
              <w:rPr>
                <w:b/>
                <w:kern w:val="0"/>
                <w:szCs w:val="21"/>
              </w:rPr>
              <w:t>组织体系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w:t>
            </w:r>
          </w:p>
        </w:tc>
        <w:tc>
          <w:tcPr>
            <w:tcW w:w="13524" w:type="dxa"/>
            <w:gridSpan w:val="6"/>
            <w:shd w:val="clear" w:color="auto" w:fill="auto"/>
            <w:tcMar>
              <w:left w:w="45" w:type="dxa"/>
              <w:right w:w="45" w:type="dxa"/>
            </w:tcMar>
            <w:vAlign w:val="center"/>
          </w:tcPr>
          <w:p>
            <w:pPr>
              <w:widowControl/>
              <w:spacing w:line="300" w:lineRule="exact"/>
              <w:rPr>
                <w:b/>
                <w:kern w:val="0"/>
                <w:szCs w:val="21"/>
              </w:rPr>
            </w:pPr>
            <w:r>
              <w:rPr>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bCs/>
                <w:kern w:val="0"/>
                <w:szCs w:val="21"/>
              </w:rPr>
            </w:pPr>
            <w:r>
              <w:rPr>
                <w:rFonts w:eastAsia="黑体"/>
                <w:b/>
                <w:bCs/>
                <w:kern w:val="0"/>
                <w:szCs w:val="21"/>
              </w:rPr>
              <w:t>1.3</w:t>
            </w:r>
          </w:p>
        </w:tc>
        <w:tc>
          <w:tcPr>
            <w:tcW w:w="13524" w:type="dxa"/>
            <w:gridSpan w:val="6"/>
            <w:shd w:val="clear" w:color="auto" w:fill="auto"/>
            <w:tcMar>
              <w:left w:w="45" w:type="dxa"/>
              <w:right w:w="45" w:type="dxa"/>
            </w:tcMar>
            <w:vAlign w:val="center"/>
          </w:tcPr>
          <w:p>
            <w:pPr>
              <w:widowControl/>
              <w:spacing w:line="300" w:lineRule="exact"/>
              <w:rPr>
                <w:b/>
                <w:bCs/>
                <w:kern w:val="0"/>
                <w:szCs w:val="21"/>
              </w:rPr>
            </w:pPr>
            <w:r>
              <w:rPr>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院系、</w:t>
            </w:r>
            <w:r>
              <w:rPr>
                <w:rFonts w:hint="eastAsia"/>
                <w:kern w:val="0"/>
                <w:szCs w:val="21"/>
                <w:highlight w:val="yellow"/>
              </w:rPr>
              <w:t>课题组</w:t>
            </w:r>
            <w:r>
              <w:rPr>
                <w:kern w:val="0"/>
                <w:szCs w:val="21"/>
                <w:highlight w:val="yellow"/>
              </w:rPr>
              <w:t>等</w:t>
            </w:r>
            <w:r>
              <w:rPr>
                <w:rFonts w:hint="eastAsia"/>
                <w:kern w:val="0"/>
                <w:szCs w:val="21"/>
                <w:highlight w:val="yellow"/>
              </w:rPr>
              <w:t>有</w:t>
            </w:r>
            <w:r>
              <w:rPr>
                <w:kern w:val="0"/>
                <w:szCs w:val="21"/>
                <w:highlight w:val="yellow"/>
              </w:rPr>
              <w:t>自筹经费投入实验室安全建设与管理</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highlight w:val="yellow"/>
              </w:rPr>
              <w:t>有</w:t>
            </w:r>
            <w:r>
              <w:rPr>
                <w:kern w:val="0"/>
                <w:szCs w:val="21"/>
                <w:highlight w:val="yellow"/>
              </w:rPr>
              <w:t>证据</w:t>
            </w:r>
          </w:p>
        </w:tc>
        <w:tc>
          <w:tcPr>
            <w:tcW w:w="599" w:type="dxa"/>
            <w:tcMar>
              <w:left w:w="45" w:type="dxa"/>
              <w:right w:w="45" w:type="dxa"/>
            </w:tcMar>
            <w:vAlign w:val="center"/>
          </w:tcPr>
          <w:p>
            <w:pPr>
              <w:widowControl/>
              <w:spacing w:line="300" w:lineRule="exact"/>
              <w:jc w:val="center"/>
              <w:rPr>
                <w:rFonts w:hint="eastAsia" w:eastAsia="宋体"/>
                <w:kern w:val="0"/>
                <w:szCs w:val="21"/>
                <w:lang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2.2</w:t>
            </w:r>
          </w:p>
        </w:tc>
        <w:tc>
          <w:tcPr>
            <w:tcW w:w="13524" w:type="dxa"/>
            <w:gridSpan w:val="6"/>
            <w:shd w:val="clear" w:color="auto" w:fill="auto"/>
            <w:tcMar>
              <w:left w:w="45" w:type="dxa"/>
              <w:right w:w="45" w:type="dxa"/>
            </w:tcMar>
            <w:vAlign w:val="center"/>
          </w:tcPr>
          <w:p>
            <w:pPr>
              <w:widowControl/>
              <w:spacing w:line="300" w:lineRule="exact"/>
              <w:rPr>
                <w:b/>
                <w:kern w:val="0"/>
                <w:szCs w:val="21"/>
              </w:rPr>
            </w:pPr>
            <w:r>
              <w:rPr>
                <w:b/>
                <w:kern w:val="0"/>
                <w:szCs w:val="21"/>
              </w:rPr>
              <w:t>院系层面的安全管理制度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2.2.2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highlight w:val="yellow"/>
              </w:rPr>
              <w:t>查</w:t>
            </w:r>
            <w:r>
              <w:rPr>
                <w:bCs/>
                <w:kern w:val="0"/>
                <w:szCs w:val="21"/>
                <w:highlight w:val="yellow"/>
              </w:rPr>
              <w:t>安全检查记录本、每个实验室房间的值日表</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default" w:eastAsia="宋体"/>
                <w:bCs/>
                <w:kern w:val="0"/>
                <w:szCs w:val="21"/>
                <w:lang w:val="en-US" w:eastAsia="zh-CN"/>
              </w:rPr>
            </w:pPr>
            <w:r>
              <w:rPr>
                <w:rFonts w:hint="eastAsia"/>
                <w:bCs/>
                <w:kern w:val="0"/>
                <w:szCs w:val="21"/>
                <w:lang w:val="en-US" w:eastAsia="zh-CN"/>
              </w:rPr>
              <w:t>大部分</w:t>
            </w:r>
            <w:r>
              <w:rPr>
                <w:bCs/>
                <w:kern w:val="0"/>
                <w:szCs w:val="21"/>
              </w:rPr>
              <w:t>实验室的</w:t>
            </w:r>
            <w:r>
              <w:rPr>
                <w:rFonts w:hint="eastAsia"/>
                <w:bCs/>
                <w:kern w:val="0"/>
                <w:szCs w:val="21"/>
                <w:lang w:val="en-US" w:eastAsia="zh-CN"/>
              </w:rPr>
              <w:t>有</w:t>
            </w:r>
            <w:r>
              <w:rPr>
                <w:bCs/>
                <w:kern w:val="0"/>
                <w:szCs w:val="21"/>
              </w:rPr>
              <w:t>值日表</w:t>
            </w:r>
            <w:r>
              <w:rPr>
                <w:rFonts w:hint="eastAsia"/>
                <w:bCs/>
                <w:kern w:val="0"/>
                <w:szCs w:val="21"/>
                <w:lang w:eastAsia="zh-CN"/>
              </w:rPr>
              <w:t>，</w:t>
            </w:r>
            <w:r>
              <w:rPr>
                <w:rFonts w:hint="eastAsia"/>
                <w:bCs/>
                <w:kern w:val="0"/>
                <w:szCs w:val="21"/>
                <w:lang w:val="en-US" w:eastAsia="zh-CN"/>
              </w:rPr>
              <w:t>但要补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2.2.3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2.2.4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r>
              <w:rPr>
                <w:rFonts w:hint="eastAsia"/>
                <w:kern w:val="0"/>
                <w:szCs w:val="21"/>
              </w:rPr>
              <w:t>实验</w:t>
            </w:r>
            <w:r>
              <w:rPr>
                <w:kern w:val="0"/>
                <w:szCs w:val="21"/>
              </w:rPr>
              <w:t>指导书或操作规程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2.2.5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查看开题报告、新开设教学实验审批资料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r>
              <w:rPr>
                <w:rFonts w:hint="eastAsia"/>
                <w:bCs/>
                <w:kern w:val="0"/>
                <w:szCs w:val="21"/>
              </w:rPr>
              <w:t>开题报告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2.2.6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r>
              <w:rPr>
                <w:rFonts w:hint="eastAsia"/>
                <w:kern w:val="0"/>
                <w:szCs w:val="21"/>
                <w:lang w:val="en-US" w:eastAsia="zh-CN"/>
              </w:rPr>
              <w:t>有学院统一的</w:t>
            </w:r>
            <w:r>
              <w:rPr>
                <w:kern w:val="0"/>
                <w:szCs w:val="21"/>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4</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4.1</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4.1.2</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eastAsia="zh-CN"/>
              </w:rPr>
            </w:pPr>
            <w:r>
              <w:rPr>
                <w:rFonts w:hint="eastAsia"/>
                <w:bCs/>
                <w:kern w:val="0"/>
                <w:szCs w:val="21"/>
              </w:rPr>
              <w:t>警示</w:t>
            </w:r>
            <w:r>
              <w:rPr>
                <w:bCs/>
                <w:kern w:val="0"/>
                <w:szCs w:val="21"/>
              </w:rPr>
              <w:t>标识</w:t>
            </w:r>
            <w:r>
              <w:rPr>
                <w:rFonts w:hint="eastAsia"/>
                <w:bCs/>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4.1.3</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color w:val="0000FF"/>
                <w:kern w:val="0"/>
                <w:szCs w:val="21"/>
              </w:rPr>
              <w:t>放射性同位素</w:t>
            </w:r>
            <w:r>
              <w:rPr>
                <w:rFonts w:hint="eastAsia"/>
                <w:bCs/>
                <w:kern w:val="0"/>
                <w:szCs w:val="21"/>
              </w:rPr>
              <w:t>、</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rFonts w:hint="eastAsia" w:eastAsia="宋体"/>
                <w:bCs/>
                <w:kern w:val="0"/>
                <w:szCs w:val="21"/>
                <w:lang w:val="en-US" w:eastAsia="zh-CN"/>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4.1.4</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rFonts w:hint="eastAsia" w:eastAsia="宋体"/>
                <w:bCs/>
                <w:kern w:val="0"/>
                <w:szCs w:val="21"/>
                <w:lang w:val="en-US" w:eastAsia="zh-CN"/>
              </w:rPr>
            </w:pPr>
          </w:p>
        </w:tc>
        <w:tc>
          <w:tcPr>
            <w:tcW w:w="2120" w:type="dxa"/>
            <w:vAlign w:val="center"/>
          </w:tcPr>
          <w:p>
            <w:pPr>
              <w:widowControl/>
              <w:spacing w:line="300" w:lineRule="exact"/>
              <w:jc w:val="left"/>
              <w:rPr>
                <w:bCs/>
                <w:kern w:val="0"/>
                <w:szCs w:val="21"/>
              </w:rPr>
            </w:pPr>
            <w:r>
              <w:rPr>
                <w:bCs/>
                <w:kern w:val="0"/>
                <w:szCs w:val="21"/>
              </w:rPr>
              <w:t>应急管控方案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4.2</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default" w:eastAsia="宋体"/>
                <w:bCs/>
                <w:kern w:val="0"/>
                <w:szCs w:val="21"/>
                <w:lang w:val="en-US" w:eastAsia="zh-CN"/>
              </w:rPr>
            </w:pPr>
            <w:r>
              <w:rPr>
                <w:rFonts w:hint="eastAsia"/>
                <w:bCs/>
                <w:kern w:val="0"/>
                <w:szCs w:val="21"/>
                <w:lang w:val="en-US" w:eastAsia="zh-CN"/>
              </w:rPr>
              <w:t>应该都没有，需补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4.3</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4.3.3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实验记录</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5</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5.1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w:t>
            </w:r>
            <w:r>
              <w:rPr>
                <w:rFonts w:hint="eastAsia"/>
                <w:color w:val="0000FF"/>
                <w:szCs w:val="21"/>
              </w:rPr>
              <w:t>两处紧急出口</w:t>
            </w:r>
            <w:r>
              <w:rPr>
                <w:rFonts w:hint="eastAsia"/>
                <w:szCs w:val="21"/>
              </w:rPr>
              <w:t>，</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室内外</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default" w:eastAsia="宋体"/>
                <w:bCs/>
                <w:kern w:val="0"/>
                <w:szCs w:val="21"/>
                <w:lang w:val="en-US" w:eastAsia="zh-CN"/>
              </w:rPr>
            </w:pPr>
            <w:r>
              <w:rPr>
                <w:rFonts w:hint="eastAsia" w:ascii="宋体" w:hAnsi="宋体" w:cs="宋体"/>
                <w:i w:val="0"/>
                <w:color w:val="000000"/>
                <w:kern w:val="0"/>
                <w:sz w:val="24"/>
                <w:szCs w:val="24"/>
                <w:u w:val="none"/>
                <w:lang w:val="en-US" w:eastAsia="zh-CN" w:bidi="ar"/>
              </w:rPr>
              <w:t>如</w:t>
            </w:r>
            <w:r>
              <w:rPr>
                <w:rFonts w:hint="eastAsia" w:ascii="宋体" w:hAnsi="宋体" w:eastAsia="宋体" w:cs="宋体"/>
                <w:i w:val="0"/>
                <w:color w:val="000000"/>
                <w:kern w:val="0"/>
                <w:sz w:val="24"/>
                <w:szCs w:val="24"/>
                <w:u w:val="none"/>
                <w:lang w:val="en-US" w:eastAsia="zh-CN" w:bidi="ar"/>
              </w:rPr>
              <w:t>11-507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有信息牌，信息完整，应急电话有效</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eastAsia="zh-CN"/>
              </w:rPr>
            </w:pPr>
            <w:r>
              <w:rPr>
                <w:rFonts w:hint="eastAsia"/>
                <w:szCs w:val="21"/>
              </w:rPr>
              <w:t>警示标识</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消防通道通畅</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szCs w:val="21"/>
              </w:rPr>
            </w:pPr>
            <w:r>
              <w:rPr>
                <w:rFonts w:eastAsia="黑体"/>
                <w:szCs w:val="21"/>
              </w:rPr>
              <w:t>5.1.5</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），但必须保证留有大于2.0米净宽的消防通道，需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599" w:type="dxa"/>
            <w:tcMar>
              <w:left w:w="45" w:type="dxa"/>
              <w:right w:w="45" w:type="dxa"/>
            </w:tcMar>
            <w:vAlign w:val="center"/>
          </w:tcPr>
          <w:p>
            <w:pPr>
              <w:widowControl/>
              <w:spacing w:line="300" w:lineRule="exact"/>
              <w:jc w:val="center"/>
              <w:rPr>
                <w:rFonts w:hint="eastAsia" w:eastAsia="宋体"/>
                <w:bCs/>
                <w:szCs w:val="21"/>
                <w:lang w:val="en-US" w:eastAsia="zh-CN"/>
              </w:rPr>
            </w:pPr>
          </w:p>
        </w:tc>
        <w:tc>
          <w:tcPr>
            <w:tcW w:w="853" w:type="dxa"/>
            <w:vAlign w:val="center"/>
          </w:tcPr>
          <w:p>
            <w:pPr>
              <w:widowControl/>
              <w:spacing w:line="300" w:lineRule="exact"/>
              <w:jc w:val="center"/>
              <w:rPr>
                <w:bCs/>
                <w:szCs w:val="21"/>
              </w:rPr>
            </w:pPr>
          </w:p>
        </w:tc>
        <w:tc>
          <w:tcPr>
            <w:tcW w:w="882" w:type="dxa"/>
            <w:vAlign w:val="center"/>
          </w:tcPr>
          <w:p>
            <w:pPr>
              <w:widowControl/>
              <w:spacing w:line="300" w:lineRule="exact"/>
              <w:jc w:val="center"/>
              <w:rPr>
                <w:rFonts w:hint="eastAsia" w:eastAsia="宋体"/>
                <w:bCs/>
                <w:szCs w:val="21"/>
                <w:lang w:val="en-US" w:eastAsia="zh-CN"/>
              </w:rPr>
            </w:pPr>
          </w:p>
        </w:tc>
        <w:tc>
          <w:tcPr>
            <w:tcW w:w="2120" w:type="dxa"/>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eastAsia="zh-CN"/>
              </w:rPr>
            </w:pPr>
            <w:r>
              <w:rPr>
                <w:rFonts w:hint="eastAsia"/>
                <w:bCs/>
                <w:szCs w:val="21"/>
              </w:rPr>
              <w:t>观察窗</w:t>
            </w:r>
            <w:r>
              <w:rPr>
                <w:rFonts w:hint="eastAsia"/>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5.1.7</w:t>
            </w:r>
          </w:p>
        </w:tc>
        <w:tc>
          <w:tcPr>
            <w:tcW w:w="5810" w:type="dxa"/>
            <w:shd w:val="clear" w:color="auto" w:fill="auto"/>
            <w:tcMar>
              <w:left w:w="45" w:type="dxa"/>
              <w:right w:w="45" w:type="dxa"/>
            </w:tcMar>
            <w:vAlign w:val="center"/>
          </w:tcPr>
          <w:p>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5.1.8</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实验室人均面积符合规定要求，其中理工农医类不小于2.5平方米/人，社科类不小于1.5平方米/人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观察实验台</w:t>
            </w:r>
            <w:r>
              <w:rPr>
                <w:bCs/>
                <w:szCs w:val="21"/>
              </w:rPr>
              <w:t>与总面积</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szCs w:val="21"/>
              </w:rPr>
            </w:pPr>
            <w:r>
              <w:rPr>
                <w:rFonts w:eastAsia="黑体"/>
                <w:szCs w:val="21"/>
              </w:rPr>
              <w:t>5.1.9</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2米</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查看现场</w:t>
            </w:r>
          </w:p>
        </w:tc>
        <w:tc>
          <w:tcPr>
            <w:tcW w:w="599" w:type="dxa"/>
            <w:tcMar>
              <w:left w:w="45" w:type="dxa"/>
              <w:right w:w="45" w:type="dxa"/>
            </w:tcMar>
            <w:vAlign w:val="center"/>
          </w:tcPr>
          <w:p>
            <w:pPr>
              <w:widowControl/>
              <w:spacing w:line="300" w:lineRule="exact"/>
              <w:jc w:val="center"/>
              <w:rPr>
                <w:rFonts w:hint="eastAsia" w:eastAsia="宋体"/>
                <w:bCs/>
                <w:szCs w:val="21"/>
                <w:lang w:val="en-US" w:eastAsia="zh-CN"/>
              </w:rPr>
            </w:pPr>
          </w:p>
        </w:tc>
        <w:tc>
          <w:tcPr>
            <w:tcW w:w="853" w:type="dxa"/>
            <w:vAlign w:val="center"/>
          </w:tcPr>
          <w:p>
            <w:pPr>
              <w:widowControl/>
              <w:spacing w:line="300" w:lineRule="exact"/>
              <w:jc w:val="center"/>
              <w:rPr>
                <w:bCs/>
                <w:szCs w:val="21"/>
              </w:rPr>
            </w:pPr>
          </w:p>
        </w:tc>
        <w:tc>
          <w:tcPr>
            <w:tcW w:w="882" w:type="dxa"/>
            <w:vAlign w:val="center"/>
          </w:tcPr>
          <w:p>
            <w:pPr>
              <w:widowControl/>
              <w:spacing w:line="300" w:lineRule="exact"/>
              <w:jc w:val="center"/>
              <w:rPr>
                <w:bCs/>
                <w:szCs w:val="21"/>
              </w:rPr>
            </w:pPr>
          </w:p>
        </w:tc>
        <w:tc>
          <w:tcPr>
            <w:tcW w:w="2120" w:type="dxa"/>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5.1.10</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实验台材料合格</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5.1.11</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5.1.12</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有必要的振动屏蔽措施</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5.1.13</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有必要的磁屏蔽措施</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5.1.14</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照明良好，桌面光照度一般不小于150</w:t>
            </w:r>
            <w:r>
              <w:rPr>
                <w:szCs w:val="21"/>
              </w:rPr>
              <w:t xml:space="preserve"> </w:t>
            </w:r>
            <w:r>
              <w:rPr>
                <w:rFonts w:hint="eastAsia"/>
                <w:szCs w:val="21"/>
              </w:rPr>
              <w:t>LX</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照明良好</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5.1.15</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噪声一般低于55分贝（机械设备可低于70分贝）</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噪声达标</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szCs w:val="21"/>
              </w:rPr>
            </w:pPr>
            <w:r>
              <w:rPr>
                <w:rFonts w:eastAsia="黑体"/>
                <w:szCs w:val="21"/>
              </w:rPr>
              <w:t>5.1.16</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w:t>
            </w:r>
            <w:r>
              <w:rPr>
                <w:bCs/>
                <w:szCs w:val="21"/>
              </w:rPr>
              <w:t>现场或实验室图片</w:t>
            </w:r>
          </w:p>
        </w:tc>
        <w:tc>
          <w:tcPr>
            <w:tcW w:w="599" w:type="dxa"/>
            <w:tcMar>
              <w:left w:w="45" w:type="dxa"/>
              <w:right w:w="45" w:type="dxa"/>
            </w:tcMar>
            <w:vAlign w:val="center"/>
          </w:tcPr>
          <w:p>
            <w:pPr>
              <w:widowControl/>
              <w:spacing w:line="300" w:lineRule="exact"/>
              <w:jc w:val="center"/>
              <w:rPr>
                <w:rFonts w:hint="eastAsia" w:eastAsia="宋体"/>
                <w:bCs/>
                <w:szCs w:val="21"/>
                <w:lang w:val="en-US" w:eastAsia="zh-CN"/>
              </w:rPr>
            </w:pPr>
          </w:p>
        </w:tc>
        <w:tc>
          <w:tcPr>
            <w:tcW w:w="853" w:type="dxa"/>
            <w:vAlign w:val="center"/>
          </w:tcPr>
          <w:p>
            <w:pPr>
              <w:widowControl/>
              <w:spacing w:line="300" w:lineRule="exact"/>
              <w:jc w:val="center"/>
              <w:rPr>
                <w:bCs/>
                <w:szCs w:val="21"/>
              </w:rPr>
            </w:pPr>
          </w:p>
        </w:tc>
        <w:tc>
          <w:tcPr>
            <w:tcW w:w="882" w:type="dxa"/>
            <w:vAlign w:val="center"/>
          </w:tcPr>
          <w:p>
            <w:pPr>
              <w:widowControl/>
              <w:spacing w:line="300" w:lineRule="exact"/>
              <w:jc w:val="center"/>
              <w:rPr>
                <w:bCs/>
                <w:szCs w:val="21"/>
              </w:rPr>
            </w:pPr>
          </w:p>
        </w:tc>
        <w:tc>
          <w:tcPr>
            <w:tcW w:w="2120" w:type="dxa"/>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szCs w:val="21"/>
              </w:rPr>
            </w:pPr>
            <w:r>
              <w:rPr>
                <w:rFonts w:eastAsia="黑体"/>
                <w:szCs w:val="21"/>
              </w:rPr>
              <w:t>5.1.17</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实验室</w:t>
            </w:r>
            <w:r>
              <w:rPr>
                <w:szCs w:val="21"/>
              </w:rPr>
              <w:t>内</w:t>
            </w:r>
            <w:r>
              <w:rPr>
                <w:rFonts w:hint="eastAsia"/>
                <w:szCs w:val="21"/>
              </w:rPr>
              <w:t>已</w:t>
            </w:r>
            <w:r>
              <w:rPr>
                <w:color w:val="0000FF"/>
                <w:szCs w:val="21"/>
              </w:rPr>
              <w:t>废弃不用</w:t>
            </w:r>
            <w:r>
              <w:rPr>
                <w:szCs w:val="21"/>
              </w:rPr>
              <w:t>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pPr>
              <w:widowControl/>
              <w:spacing w:line="300" w:lineRule="exact"/>
              <w:jc w:val="center"/>
              <w:rPr>
                <w:rFonts w:hint="eastAsia" w:eastAsia="宋体"/>
                <w:bCs/>
                <w:szCs w:val="21"/>
                <w:lang w:eastAsia="zh-CN"/>
              </w:rPr>
            </w:pPr>
          </w:p>
        </w:tc>
        <w:tc>
          <w:tcPr>
            <w:tcW w:w="853" w:type="dxa"/>
            <w:vAlign w:val="center"/>
          </w:tcPr>
          <w:p>
            <w:pPr>
              <w:widowControl/>
              <w:spacing w:line="300" w:lineRule="exact"/>
              <w:jc w:val="center"/>
              <w:rPr>
                <w:bCs/>
                <w:szCs w:val="21"/>
              </w:rPr>
            </w:pPr>
          </w:p>
        </w:tc>
        <w:tc>
          <w:tcPr>
            <w:tcW w:w="882" w:type="dxa"/>
            <w:vAlign w:val="center"/>
          </w:tcPr>
          <w:p>
            <w:pPr>
              <w:widowControl/>
              <w:spacing w:line="300" w:lineRule="exact"/>
              <w:jc w:val="center"/>
              <w:rPr>
                <w:bCs/>
                <w:szCs w:val="21"/>
              </w:rPr>
            </w:pPr>
          </w:p>
        </w:tc>
        <w:tc>
          <w:tcPr>
            <w:tcW w:w="2120" w:type="dxa"/>
            <w:vAlign w:val="center"/>
          </w:tcPr>
          <w:p>
            <w:pPr>
              <w:widowControl/>
              <w:spacing w:line="300" w:lineRule="exact"/>
              <w:jc w:val="left"/>
              <w:rPr>
                <w:rFonts w:hint="default" w:eastAsia="宋体"/>
                <w:bCs/>
                <w:szCs w:val="21"/>
                <w:lang w:val="en-US" w:eastAsia="zh-CN"/>
              </w:rPr>
            </w:pPr>
            <w:r>
              <w:rPr>
                <w:rFonts w:hint="eastAsia"/>
                <w:bCs/>
                <w:szCs w:val="21"/>
                <w:lang w:val="en-US" w:eastAsia="zh-CN"/>
              </w:rPr>
              <w:t>还有很多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b/>
                <w:kern w:val="0"/>
                <w:szCs w:val="21"/>
              </w:rPr>
              <w:t>5.2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管线基础安全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5.2.1</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管线布局合理</w:t>
            </w:r>
          </w:p>
        </w:tc>
        <w:tc>
          <w:tcPr>
            <w:tcW w:w="599" w:type="dxa"/>
            <w:tcMar>
              <w:left w:w="45" w:type="dxa"/>
              <w:right w:w="45" w:type="dxa"/>
            </w:tcMar>
            <w:vAlign w:val="center"/>
          </w:tcPr>
          <w:p>
            <w:pPr>
              <w:spacing w:line="300" w:lineRule="exact"/>
              <w:jc w:val="center"/>
              <w:rPr>
                <w:rFonts w:hint="eastAsia" w:eastAsia="宋体"/>
                <w:bCs/>
                <w:szCs w:val="21"/>
                <w:lang w:val="en-US"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5.2.2</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供气管道有标识，无破损</w:t>
            </w:r>
          </w:p>
        </w:tc>
        <w:tc>
          <w:tcPr>
            <w:tcW w:w="599" w:type="dxa"/>
            <w:tcMar>
              <w:left w:w="45" w:type="dxa"/>
              <w:right w:w="45" w:type="dxa"/>
            </w:tcMar>
            <w:vAlign w:val="center"/>
          </w:tcPr>
          <w:p>
            <w:pPr>
              <w:spacing w:line="300" w:lineRule="exact"/>
              <w:jc w:val="center"/>
              <w:rPr>
                <w:rFonts w:hint="eastAsia" w:eastAsia="宋体"/>
                <w:bCs/>
                <w:szCs w:val="21"/>
                <w:lang w:val="en-US"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5.2.3</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可燃气管道远离高温、明火</w:t>
            </w:r>
          </w:p>
        </w:tc>
        <w:tc>
          <w:tcPr>
            <w:tcW w:w="599" w:type="dxa"/>
            <w:tcMar>
              <w:left w:w="45" w:type="dxa"/>
              <w:right w:w="45" w:type="dxa"/>
            </w:tcMar>
            <w:vAlign w:val="center"/>
          </w:tcPr>
          <w:p>
            <w:pPr>
              <w:spacing w:line="300" w:lineRule="exact"/>
              <w:jc w:val="center"/>
              <w:rPr>
                <w:rFonts w:hint="eastAsia" w:eastAsia="宋体"/>
                <w:bCs/>
                <w:szCs w:val="21"/>
                <w:lang w:val="en-US"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5.3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5.3.1</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color w:val="0000FF"/>
                <w:szCs w:val="21"/>
              </w:rPr>
              <w:t>有毒有害实验区与学习区明确分开，布局合理；</w:t>
            </w:r>
            <w:r>
              <w:rPr>
                <w:rFonts w:hint="eastAsia"/>
                <w:bCs/>
                <w:color w:val="0000FF"/>
                <w:szCs w:val="21"/>
              </w:rPr>
              <w:t>实验区不准</w:t>
            </w:r>
            <w:r>
              <w:rPr>
                <w:bCs/>
                <w:color w:val="0000FF"/>
                <w:szCs w:val="21"/>
              </w:rPr>
              <w:t>饮食</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599" w:type="dxa"/>
            <w:tcMar>
              <w:left w:w="45" w:type="dxa"/>
              <w:right w:w="45" w:type="dxa"/>
            </w:tcMar>
            <w:vAlign w:val="center"/>
          </w:tcPr>
          <w:p>
            <w:pPr>
              <w:spacing w:line="300" w:lineRule="exact"/>
              <w:jc w:val="center"/>
              <w:rPr>
                <w:rFonts w:hint="eastAsia" w:eastAsia="宋体"/>
                <w:bCs/>
                <w:szCs w:val="21"/>
                <w:lang w:val="en-US"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5.3.2</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整洁卫生有序</w:t>
            </w:r>
          </w:p>
        </w:tc>
        <w:tc>
          <w:tcPr>
            <w:tcW w:w="599" w:type="dxa"/>
            <w:tcMar>
              <w:left w:w="45" w:type="dxa"/>
              <w:right w:w="45" w:type="dxa"/>
            </w:tcMar>
            <w:vAlign w:val="center"/>
          </w:tcPr>
          <w:p>
            <w:pPr>
              <w:spacing w:line="300" w:lineRule="exact"/>
              <w:jc w:val="center"/>
              <w:rPr>
                <w:rFonts w:hint="eastAsia" w:eastAsia="宋体"/>
                <w:bCs/>
                <w:szCs w:val="21"/>
                <w:lang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r>
              <w:rPr>
                <w:rFonts w:hint="eastAsia"/>
                <w:bCs/>
                <w:szCs w:val="21"/>
              </w:rPr>
              <w:t>整洁卫生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5.3.3</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人员要在岗</w:t>
            </w:r>
          </w:p>
        </w:tc>
        <w:tc>
          <w:tcPr>
            <w:tcW w:w="599" w:type="dxa"/>
            <w:tcMar>
              <w:left w:w="45" w:type="dxa"/>
              <w:right w:w="45" w:type="dxa"/>
            </w:tcMar>
            <w:vAlign w:val="center"/>
          </w:tcPr>
          <w:p>
            <w:pPr>
              <w:spacing w:line="300" w:lineRule="exact"/>
              <w:jc w:val="center"/>
              <w:rPr>
                <w:rFonts w:hint="eastAsia" w:eastAsia="宋体"/>
                <w:bCs/>
                <w:szCs w:val="21"/>
                <w:lang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rFonts w:hint="default" w:eastAsia="宋体"/>
                <w:bCs/>
                <w:szCs w:val="21"/>
                <w:lang w:val="en-US" w:eastAsia="zh-CN"/>
              </w:rPr>
            </w:pPr>
            <w:r>
              <w:rPr>
                <w:rFonts w:hint="eastAsia"/>
                <w:bCs/>
                <w:szCs w:val="21"/>
                <w:lang w:val="en-US" w:eastAsia="zh-CN"/>
              </w:rPr>
              <w:t>平时有很多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5.3.4</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pPr>
              <w:spacing w:line="300" w:lineRule="exact"/>
              <w:jc w:val="center"/>
              <w:rPr>
                <w:rFonts w:hint="eastAsia" w:eastAsia="宋体"/>
                <w:bCs/>
                <w:szCs w:val="21"/>
                <w:lang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rFonts w:hint="default" w:eastAsia="宋体"/>
                <w:bCs/>
                <w:szCs w:val="21"/>
                <w:lang w:val="en-US" w:eastAsia="zh-CN"/>
              </w:rPr>
            </w:pPr>
            <w:r>
              <w:rPr>
                <w:rFonts w:hint="eastAsia"/>
                <w:bCs/>
                <w:szCs w:val="21"/>
                <w:lang w:val="en-US" w:eastAsia="zh-CN"/>
              </w:rPr>
              <w:t>需清理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5.3.5</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记录表</w:t>
            </w:r>
          </w:p>
        </w:tc>
        <w:tc>
          <w:tcPr>
            <w:tcW w:w="599" w:type="dxa"/>
            <w:tcMar>
              <w:left w:w="45" w:type="dxa"/>
              <w:right w:w="45" w:type="dxa"/>
            </w:tcMar>
            <w:vAlign w:val="center"/>
          </w:tcPr>
          <w:p>
            <w:pPr>
              <w:spacing w:line="300" w:lineRule="exact"/>
              <w:jc w:val="center"/>
              <w:rPr>
                <w:rFonts w:hint="eastAsia" w:eastAsia="宋体"/>
                <w:bCs/>
                <w:szCs w:val="21"/>
                <w:lang w:val="en-US"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5.4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szCs w:val="21"/>
              </w:rPr>
              <w:t>5.4.1</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pPr>
              <w:spacing w:line="300" w:lineRule="exact"/>
              <w:jc w:val="center"/>
              <w:rPr>
                <w:rFonts w:hint="eastAsia" w:eastAsia="宋体"/>
                <w:bCs/>
                <w:szCs w:val="21"/>
                <w:lang w:val="en-US"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5.4.2</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599" w:type="dxa"/>
            <w:tcMar>
              <w:left w:w="45" w:type="dxa"/>
              <w:right w:w="45" w:type="dxa"/>
            </w:tcMar>
            <w:vAlign w:val="center"/>
          </w:tcPr>
          <w:p>
            <w:pPr>
              <w:spacing w:line="300" w:lineRule="exact"/>
              <w:jc w:val="center"/>
              <w:rPr>
                <w:rFonts w:hint="eastAsia" w:eastAsia="宋体"/>
                <w:bCs/>
                <w:szCs w:val="21"/>
                <w:lang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rFonts w:hint="default" w:eastAsia="宋体"/>
                <w:bCs/>
                <w:szCs w:val="21"/>
                <w:lang w:val="en-US" w:eastAsia="zh-CN"/>
              </w:rPr>
            </w:pPr>
            <w:r>
              <w:rPr>
                <w:rFonts w:hint="eastAsia"/>
                <w:szCs w:val="21"/>
              </w:rPr>
              <w:t>急救药箱</w:t>
            </w:r>
            <w:r>
              <w:rPr>
                <w:rFonts w:hint="eastAsia"/>
                <w:szCs w:val="21"/>
                <w:lang w:val="en-US" w:eastAsia="zh-CN"/>
              </w:rPr>
              <w:t>配了没有？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5.4.3</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pPr>
              <w:spacing w:line="300" w:lineRule="exact"/>
              <w:jc w:val="center"/>
              <w:rPr>
                <w:rFonts w:hint="eastAsia" w:eastAsia="宋体"/>
                <w:bCs/>
                <w:szCs w:val="21"/>
                <w:lang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rFonts w:hint="eastAsia" w:eastAsia="宋体"/>
                <w:bCs/>
                <w:szCs w:val="21"/>
                <w:lang w:val="en-US" w:eastAsia="zh-CN"/>
              </w:rPr>
            </w:pPr>
            <w:r>
              <w:rPr>
                <w:rFonts w:hint="eastAsia"/>
                <w:bCs/>
                <w:szCs w:val="21"/>
                <w:lang w:val="en-US" w:eastAsia="zh-CN"/>
              </w:rPr>
              <w:t>有，需清理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5.4.4</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599" w:type="dxa"/>
            <w:tcMar>
              <w:left w:w="45" w:type="dxa"/>
              <w:right w:w="45" w:type="dxa"/>
            </w:tcMar>
            <w:vAlign w:val="center"/>
          </w:tcPr>
          <w:p>
            <w:pPr>
              <w:spacing w:line="300" w:lineRule="exact"/>
              <w:jc w:val="center"/>
              <w:rPr>
                <w:rFonts w:hint="eastAsia" w:eastAsia="宋体"/>
                <w:bCs/>
                <w:szCs w:val="21"/>
                <w:lang w:val="en-US"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5.4.5</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有无</w:t>
            </w:r>
            <w:r>
              <w:rPr>
                <w:bCs/>
                <w:szCs w:val="21"/>
              </w:rPr>
              <w:t>席子、被褥等</w:t>
            </w:r>
          </w:p>
        </w:tc>
        <w:tc>
          <w:tcPr>
            <w:tcW w:w="599" w:type="dxa"/>
            <w:tcMar>
              <w:left w:w="45" w:type="dxa"/>
              <w:right w:w="45" w:type="dxa"/>
            </w:tcMar>
            <w:vAlign w:val="center"/>
          </w:tcPr>
          <w:p>
            <w:pPr>
              <w:spacing w:line="300" w:lineRule="exact"/>
              <w:jc w:val="center"/>
              <w:rPr>
                <w:rFonts w:hint="eastAsia" w:eastAsia="宋体"/>
                <w:bCs/>
                <w:szCs w:val="21"/>
                <w:lang w:val="en-US"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5.4.6</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pPr>
              <w:spacing w:line="300" w:lineRule="exact"/>
              <w:jc w:val="center"/>
              <w:rPr>
                <w:rFonts w:hint="eastAsia" w:eastAsia="宋体"/>
                <w:bCs/>
                <w:szCs w:val="21"/>
                <w:lang w:val="en-US"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szCs w:val="21"/>
              </w:rPr>
              <w:t>5.4.7</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废弃</w:t>
            </w:r>
            <w:r>
              <w:rPr>
                <w:szCs w:val="21"/>
              </w:rPr>
              <w:t>不用的实验室，需</w:t>
            </w:r>
            <w:r>
              <w:rPr>
                <w:rFonts w:hint="eastAsia"/>
                <w:szCs w:val="21"/>
              </w:rPr>
              <w:t>明确</w:t>
            </w:r>
            <w:r>
              <w:rPr>
                <w:szCs w:val="21"/>
              </w:rPr>
              <w:t>责任</w:t>
            </w:r>
            <w:r>
              <w:rPr>
                <w:rFonts w:hint="eastAsia"/>
                <w:szCs w:val="21"/>
              </w:rPr>
              <w:t>落实</w:t>
            </w:r>
            <w:r>
              <w:rPr>
                <w:szCs w:val="21"/>
              </w:rPr>
              <w:t>安全防范措施</w:t>
            </w:r>
            <w:r>
              <w:rPr>
                <w:rFonts w:hint="eastAsia"/>
                <w:szCs w:val="21"/>
              </w:rPr>
              <w:t>；具有</w:t>
            </w:r>
            <w:r>
              <w:rPr>
                <w:szCs w:val="21"/>
              </w:rPr>
              <w:t>危险隐患的实验室及设备在拆除前必须做好安全论证</w:t>
            </w:r>
            <w:r>
              <w:rPr>
                <w:rFonts w:hint="eastAsia"/>
                <w:szCs w:val="21"/>
              </w:rPr>
              <w:t>，</w:t>
            </w:r>
            <w:r>
              <w:rPr>
                <w:szCs w:val="21"/>
              </w:rPr>
              <w:t>并认真实施</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查看现场</w:t>
            </w:r>
            <w:r>
              <w:rPr>
                <w:bCs/>
                <w:szCs w:val="21"/>
              </w:rPr>
              <w:t>与资料</w:t>
            </w:r>
          </w:p>
        </w:tc>
        <w:tc>
          <w:tcPr>
            <w:tcW w:w="599" w:type="dxa"/>
            <w:tcMar>
              <w:left w:w="45" w:type="dxa"/>
              <w:right w:w="45" w:type="dxa"/>
            </w:tcMar>
            <w:vAlign w:val="center"/>
          </w:tcPr>
          <w:p>
            <w:pPr>
              <w:spacing w:line="300" w:lineRule="exact"/>
              <w:jc w:val="center"/>
              <w:rPr>
                <w:rFonts w:hint="eastAsia" w:eastAsia="宋体"/>
                <w:bCs/>
                <w:szCs w:val="21"/>
                <w:lang w:val="en-US" w:eastAsia="zh-CN"/>
              </w:rPr>
            </w:pPr>
          </w:p>
        </w:tc>
        <w:tc>
          <w:tcPr>
            <w:tcW w:w="853" w:type="dxa"/>
            <w:vAlign w:val="center"/>
          </w:tcPr>
          <w:p>
            <w:pPr>
              <w:spacing w:line="300" w:lineRule="exact"/>
              <w:jc w:val="center"/>
              <w:rPr>
                <w:bCs/>
                <w:szCs w:val="21"/>
              </w:rPr>
            </w:pPr>
          </w:p>
        </w:tc>
        <w:tc>
          <w:tcPr>
            <w:tcW w:w="882" w:type="dxa"/>
            <w:vAlign w:val="center"/>
          </w:tcPr>
          <w:p>
            <w:pPr>
              <w:spacing w:line="300" w:lineRule="exact"/>
              <w:jc w:val="center"/>
              <w:rPr>
                <w:bCs/>
                <w:szCs w:val="21"/>
              </w:rPr>
            </w:pPr>
          </w:p>
        </w:tc>
        <w:tc>
          <w:tcPr>
            <w:tcW w:w="212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6.1</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6.1.1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具有潜在火灾危险的实验室内应配备合适的灭火设备（烟感</w:t>
            </w:r>
            <w:r>
              <w:rPr>
                <w:rFonts w:asciiTheme="minorEastAsia" w:hAnsiTheme="minorEastAsia" w:eastAsiaTheme="minorEastAsia"/>
                <w:kern w:val="0"/>
                <w:szCs w:val="21"/>
              </w:rPr>
              <w:t>报警器、</w:t>
            </w:r>
            <w:r>
              <w:rPr>
                <w:rFonts w:hint="eastAsia" w:asciiTheme="minorEastAsia" w:hAnsiTheme="minorEastAsia" w:eastAsiaTheme="minorEastAsia"/>
                <w:kern w:val="0"/>
                <w:szCs w:val="21"/>
              </w:rPr>
              <w:t>灭火器、 灭火毯、消防沙桶、消防喷淋等），正常有效、</w:t>
            </w:r>
            <w:r>
              <w:rPr>
                <w:rFonts w:asciiTheme="minorEastAsia" w:hAnsiTheme="minorEastAsia" w:eastAsiaTheme="minorEastAsia"/>
                <w:kern w:val="0"/>
                <w:szCs w:val="21"/>
              </w:rPr>
              <w:t>方便取用</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kern w:val="0"/>
                <w:szCs w:val="21"/>
              </w:rPr>
              <w:t>灭火器种类适合；</w:t>
            </w:r>
            <w:r>
              <w:rPr>
                <w:rFonts w:asciiTheme="minorEastAsia" w:hAnsiTheme="minorEastAsia" w:eastAsiaTheme="minorEastAsia"/>
                <w:bCs/>
                <w:kern w:val="0"/>
                <w:szCs w:val="21"/>
              </w:rPr>
              <w:t>公共</w:t>
            </w:r>
            <w:r>
              <w:rPr>
                <w:rFonts w:hint="eastAsia" w:asciiTheme="minorEastAsia" w:hAnsiTheme="minorEastAsia" w:eastAsiaTheme="minorEastAsia"/>
                <w:bCs/>
                <w:kern w:val="0"/>
                <w:szCs w:val="21"/>
              </w:rPr>
              <w:t>区域</w:t>
            </w:r>
            <w:r>
              <w:rPr>
                <w:rFonts w:asciiTheme="minorEastAsia" w:hAnsiTheme="minorEastAsia" w:eastAsiaTheme="minorEastAsia"/>
                <w:bCs/>
                <w:kern w:val="0"/>
                <w:szCs w:val="21"/>
              </w:rPr>
              <w:t>灭火器数量</w:t>
            </w:r>
            <w:r>
              <w:rPr>
                <w:rFonts w:hint="eastAsia" w:asciiTheme="minorEastAsia" w:hAnsiTheme="minorEastAsia" w:eastAsiaTheme="minorEastAsia"/>
                <w:bCs/>
                <w:kern w:val="0"/>
                <w:szCs w:val="21"/>
              </w:rPr>
              <w:t>（间距）</w:t>
            </w:r>
            <w:r>
              <w:rPr>
                <w:rFonts w:asciiTheme="minorEastAsia" w:hAnsiTheme="minorEastAsia" w:eastAsiaTheme="minorEastAsia"/>
                <w:bCs/>
                <w:kern w:val="0"/>
                <w:szCs w:val="21"/>
              </w:rPr>
              <w:t>与</w:t>
            </w:r>
            <w:r>
              <w:rPr>
                <w:rFonts w:hint="eastAsia" w:asciiTheme="minorEastAsia" w:hAnsiTheme="minorEastAsia" w:eastAsiaTheme="minorEastAsia"/>
                <w:bCs/>
                <w:kern w:val="0"/>
                <w:szCs w:val="21"/>
              </w:rPr>
              <w:t>实验室</w:t>
            </w:r>
            <w:r>
              <w:rPr>
                <w:rFonts w:asciiTheme="minorEastAsia" w:hAnsiTheme="minorEastAsia" w:eastAsiaTheme="minorEastAsia"/>
                <w:bCs/>
                <w:kern w:val="0"/>
                <w:szCs w:val="21"/>
              </w:rPr>
              <w:t>安全等级</w:t>
            </w:r>
            <w:r>
              <w:rPr>
                <w:rFonts w:hint="eastAsia" w:asciiTheme="minorEastAsia" w:hAnsiTheme="minorEastAsia" w:eastAsiaTheme="minorEastAsia"/>
                <w:bCs/>
                <w:kern w:val="0"/>
                <w:szCs w:val="21"/>
              </w:rPr>
              <w:t>相</w:t>
            </w:r>
            <w:r>
              <w:rPr>
                <w:rFonts w:asciiTheme="minorEastAsia" w:hAnsiTheme="minorEastAsia" w:eastAsiaTheme="minorEastAsia"/>
                <w:bCs/>
                <w:kern w:val="0"/>
                <w:szCs w:val="21"/>
              </w:rPr>
              <w:t>适应</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6.1.2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灭火器在有效期内（压力指针</w:t>
            </w:r>
            <w:r>
              <w:rPr>
                <w:rFonts w:asciiTheme="minorEastAsia" w:hAnsiTheme="minorEastAsia" w:eastAsiaTheme="minorEastAsia"/>
                <w:kern w:val="0"/>
                <w:szCs w:val="21"/>
              </w:rPr>
              <w:t>位置</w:t>
            </w:r>
            <w:r>
              <w:rPr>
                <w:rFonts w:hint="eastAsia" w:asciiTheme="minorEastAsia" w:hAnsiTheme="minorEastAsia" w:eastAsiaTheme="minorEastAsia"/>
                <w:kern w:val="0"/>
                <w:szCs w:val="21"/>
              </w:rPr>
              <w:t>正常等），安全销（拉针）正常，瓶身无破损、腐蚀</w:t>
            </w:r>
          </w:p>
        </w:tc>
        <w:tc>
          <w:tcPr>
            <w:tcW w:w="3260" w:type="dxa"/>
            <w:shd w:val="clear" w:color="auto" w:fill="auto"/>
            <w:tcMar>
              <w:left w:w="45" w:type="dxa"/>
              <w:right w:w="45" w:type="dxa"/>
            </w:tcMar>
            <w:vAlign w:val="center"/>
          </w:tcPr>
          <w:p>
            <w:pPr>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6.1.3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6.1.4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6.1.5</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定期</w:t>
            </w:r>
            <w:r>
              <w:rPr>
                <w:rFonts w:asciiTheme="minorEastAsia" w:hAnsiTheme="minorEastAsia" w:eastAsiaTheme="minorEastAsia"/>
                <w:kern w:val="0"/>
                <w:szCs w:val="21"/>
              </w:rPr>
              <w:t>开展</w:t>
            </w:r>
            <w:r>
              <w:rPr>
                <w:rFonts w:hint="eastAsia" w:asciiTheme="minorEastAsia" w:hAnsiTheme="minorEastAsia" w:eastAsiaTheme="minor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查看记录、现场提问</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6.2</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应急喷淋</w:t>
            </w:r>
            <w:r>
              <w:rPr>
                <w:rFonts w:hint="eastAsia" w:asciiTheme="minorEastAsia" w:hAnsiTheme="minorEastAsia" w:eastAsiaTheme="minorEastAsia"/>
                <w:b/>
                <w:kern w:val="0"/>
                <w:szCs w:val="21"/>
              </w:rPr>
              <w:t>与</w:t>
            </w:r>
            <w:r>
              <w:rPr>
                <w:rFonts w:asciiTheme="minorEastAsia" w:hAnsiTheme="minorEastAsia" w:eastAsiaTheme="minorEastAsia"/>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6.2.1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hint="default" w:asciiTheme="minorEastAsia" w:hAnsiTheme="minorEastAsia" w:eastAsiaTheme="minorEastAsia"/>
                <w:bCs/>
                <w:kern w:val="0"/>
                <w:szCs w:val="21"/>
                <w:lang w:val="en-US" w:eastAsia="zh-CN"/>
              </w:rPr>
            </w:pPr>
            <w:r>
              <w:rPr>
                <w:rFonts w:hint="eastAsia" w:asciiTheme="minorEastAsia" w:hAnsiTheme="minorEastAsia" w:eastAsiaTheme="minorEastAsia"/>
                <w:kern w:val="0"/>
                <w:szCs w:val="21"/>
              </w:rPr>
              <w:t>应急喷淋</w:t>
            </w:r>
            <w:r>
              <w:rPr>
                <w:rFonts w:hint="eastAsia" w:asciiTheme="minorEastAsia" w:hAnsiTheme="minorEastAsia" w:eastAsiaTheme="minorEastAsia"/>
                <w:kern w:val="0"/>
                <w:szCs w:val="21"/>
                <w:lang w:val="en-US" w:eastAsia="zh-CN"/>
              </w:rPr>
              <w:t>未交付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6.2.2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应急喷淋安装地点与工作区域之间畅通，距离不超过30米；应急喷淋安装位置合适，拉杆位置</w:t>
            </w:r>
            <w:r>
              <w:rPr>
                <w:rFonts w:asciiTheme="minorEastAsia" w:hAnsiTheme="minorEastAsia" w:eastAsiaTheme="minorEastAsia"/>
                <w:kern w:val="0"/>
                <w:szCs w:val="21"/>
              </w:rPr>
              <w:t>合适、</w:t>
            </w:r>
            <w:r>
              <w:rPr>
                <w:rFonts w:hint="eastAsia" w:asciiTheme="minorEastAsia" w:hAnsiTheme="minorEastAsia" w:eastAsiaTheme="minorEastAsia"/>
                <w:kern w:val="0"/>
                <w:szCs w:val="21"/>
              </w:rPr>
              <w:t>方向</w:t>
            </w:r>
            <w:r>
              <w:rPr>
                <w:rFonts w:asciiTheme="minorEastAsia" w:hAnsiTheme="minorEastAsia" w:eastAsiaTheme="minorEastAsia"/>
                <w:kern w:val="0"/>
                <w:szCs w:val="21"/>
              </w:rPr>
              <w:t>正确</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asciiTheme="minorEastAsia" w:hAnsiTheme="minorEastAsia" w:eastAsiaTheme="minorEastAsia"/>
                <w:bCs/>
                <w:kern w:val="0"/>
                <w:szCs w:val="21"/>
              </w:rPr>
              <w:t>拉杆往下拉出水；在走廊</w:t>
            </w:r>
            <w:r>
              <w:rPr>
                <w:rFonts w:hint="eastAsia" w:asciiTheme="minorEastAsia" w:hAnsiTheme="minorEastAsia" w:eastAsiaTheme="minorEastAsia"/>
                <w:bCs/>
                <w:kern w:val="0"/>
                <w:szCs w:val="21"/>
              </w:rPr>
              <w:t>安装</w:t>
            </w:r>
            <w:r>
              <w:rPr>
                <w:rFonts w:asciiTheme="minorEastAsia" w:hAnsiTheme="minorEastAsia" w:eastAsiaTheme="minorEastAsia"/>
                <w:bCs/>
                <w:kern w:val="0"/>
                <w:szCs w:val="21"/>
              </w:rPr>
              <w:t>可以没有下水道</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6.2.3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应急喷淋装置水管总阀处常开状，喷</w:t>
            </w:r>
            <w:r>
              <w:rPr>
                <w:rFonts w:hint="eastAsia" w:asciiTheme="minorEastAsia" w:hAnsiTheme="minorEastAsia" w:eastAsiaTheme="minorEastAsia"/>
                <w:kern w:val="0"/>
                <w:szCs w:val="21"/>
              </w:rPr>
              <w:t>淋</w:t>
            </w:r>
            <w:r>
              <w:rPr>
                <w:rFonts w:asciiTheme="minorEastAsia" w:hAnsiTheme="minorEastAsia" w:eastAsiaTheme="minorEastAsia"/>
                <w:kern w:val="0"/>
                <w:szCs w:val="21"/>
              </w:rPr>
              <w:t>头下方无障碍物</w:t>
            </w:r>
            <w:r>
              <w:rPr>
                <w:rFonts w:hint="eastAsia" w:asciiTheme="minorEastAsia" w:hAnsiTheme="minorEastAsia" w:eastAsiaTheme="minorEastAsia"/>
                <w:kern w:val="0"/>
                <w:szCs w:val="21"/>
              </w:rPr>
              <w:t>；</w:t>
            </w:r>
            <w:r>
              <w:rPr>
                <w:rFonts w:asciiTheme="minorEastAsia" w:hAnsiTheme="minorEastAsia" w:eastAsiaTheme="minorEastAsia"/>
                <w:kern w:val="0"/>
                <w:szCs w:val="21"/>
              </w:rPr>
              <w:t>不能以普通淋浴装置代替应急喷淋装置</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6.2.4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洗眼装置接入生活用水管道，水量水压适中（喷出高度</w:t>
            </w:r>
            <w:r>
              <w:rPr>
                <w:rFonts w:asciiTheme="minorEastAsia" w:hAnsiTheme="minorEastAsia" w:eastAsiaTheme="minorEastAsia"/>
                <w:kern w:val="0"/>
                <w:szCs w:val="21"/>
              </w:rPr>
              <w:t>8</w:t>
            </w:r>
            <w:r>
              <w:rPr>
                <w:rFonts w:hint="eastAsia" w:asciiTheme="minorEastAsia" w:hAnsiTheme="minorEastAsia" w:eastAsiaTheme="minorEastAsia"/>
                <w:kern w:val="0"/>
                <w:szCs w:val="21"/>
              </w:rPr>
              <w:t>-10cm），</w:t>
            </w:r>
            <w:r>
              <w:rPr>
                <w:rFonts w:hint="eastAsia" w:asciiTheme="minorEastAsia" w:hAnsiTheme="minorEastAsia" w:eastAsiaTheme="minorEastAsia"/>
                <w:bCs/>
                <w:kern w:val="0"/>
                <w:szCs w:val="21"/>
              </w:rPr>
              <w:t>水流畅通平稳</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不得接消防用水</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hint="default" w:asciiTheme="minorEastAsia" w:hAnsiTheme="minorEastAsia" w:eastAsiaTheme="minorEastAsia"/>
                <w:bCs/>
                <w:kern w:val="0"/>
                <w:szCs w:val="21"/>
                <w:lang w:val="en-US" w:eastAsia="zh-CN"/>
              </w:rPr>
            </w:pPr>
            <w:r>
              <w:rPr>
                <w:rFonts w:hint="eastAsia" w:asciiTheme="minorEastAsia" w:hAnsiTheme="minorEastAsia" w:eastAsiaTheme="minorEastAsia"/>
                <w:bCs/>
                <w:kern w:val="0"/>
                <w:szCs w:val="21"/>
                <w:lang w:val="en-US" w:eastAsia="zh-CN"/>
              </w:rPr>
              <w:t>需要检查一下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6.2.5</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定期维护应急喷淋与</w:t>
            </w:r>
            <w:r>
              <w:rPr>
                <w:rFonts w:asciiTheme="minorEastAsia" w:hAnsiTheme="minorEastAsia" w:eastAsiaTheme="minorEastAsia"/>
                <w:kern w:val="0"/>
                <w:szCs w:val="21"/>
              </w:rPr>
              <w:t>洗眼</w:t>
            </w:r>
            <w:r>
              <w:rPr>
                <w:rFonts w:hint="eastAsia" w:asciiTheme="minorEastAsia" w:hAnsiTheme="minorEastAsia" w:eastAsiaTheme="minor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查看维护记录、无锈水脏水</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hint="default" w:asciiTheme="minorEastAsia" w:hAnsiTheme="minorEastAsia" w:eastAsiaTheme="minorEastAsia"/>
                <w:bCs/>
                <w:kern w:val="0"/>
                <w:szCs w:val="21"/>
                <w:lang w:val="en-US" w:eastAsia="zh-CN"/>
              </w:rPr>
            </w:pPr>
            <w:r>
              <w:rPr>
                <w:rFonts w:hint="eastAsia" w:asciiTheme="minorEastAsia" w:hAnsiTheme="minorEastAsia" w:eastAsiaTheme="minorEastAsia"/>
                <w:bCs/>
                <w:kern w:val="0"/>
                <w:szCs w:val="21"/>
                <w:lang w:val="en-US" w:eastAsia="zh-CN"/>
              </w:rPr>
              <w:t>需补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6.3</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有需要的实验场所</w:t>
            </w:r>
            <w:r>
              <w:rPr>
                <w:rFonts w:asciiTheme="minorEastAsia" w:hAnsiTheme="minorEastAsia" w:eastAsia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hint="default" w:asciiTheme="minorEastAsia" w:hAnsiTheme="minorEastAsia" w:eastAsiaTheme="minorEastAsia"/>
                <w:bCs/>
                <w:kern w:val="0"/>
                <w:szCs w:val="21"/>
                <w:lang w:val="en-US" w:eastAsia="zh-CN"/>
              </w:rPr>
            </w:pPr>
            <w:r>
              <w:rPr>
                <w:rFonts w:asciiTheme="minorEastAsia" w:hAnsiTheme="minorEastAsia" w:eastAsiaTheme="minorEastAsia"/>
                <w:kern w:val="0"/>
                <w:szCs w:val="21"/>
              </w:rPr>
              <w:t>通风</w:t>
            </w:r>
            <w:r>
              <w:rPr>
                <w:rFonts w:hint="eastAsia" w:asciiTheme="minorEastAsia" w:hAnsiTheme="minorEastAsia" w:eastAsiaTheme="minorEastAsia"/>
                <w:kern w:val="0"/>
                <w:szCs w:val="21"/>
                <w:lang w:val="en-US" w:eastAsia="zh-CN"/>
              </w:rPr>
              <w:t>柜未能正常使用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实验室</w:t>
            </w:r>
            <w:r>
              <w:rPr>
                <w:rFonts w:asciiTheme="minorEastAsia" w:hAnsiTheme="minorEastAsia" w:eastAsiaTheme="minorEastAsia"/>
                <w:kern w:val="0"/>
                <w:szCs w:val="21"/>
              </w:rPr>
              <w:t>通风系统运行</w:t>
            </w:r>
            <w:r>
              <w:rPr>
                <w:rFonts w:hint="eastAsia" w:asciiTheme="minorEastAsia" w:hAnsiTheme="minorEastAsia" w:eastAsiaTheme="minorEastAsia"/>
                <w:kern w:val="0"/>
                <w:szCs w:val="21"/>
              </w:rPr>
              <w:t>正常，</w:t>
            </w:r>
            <w:r>
              <w:rPr>
                <w:rFonts w:hint="eastAsia"/>
                <w:szCs w:val="21"/>
              </w:rPr>
              <w:t>柜口面</w:t>
            </w:r>
            <w:r>
              <w:rPr>
                <w:rFonts w:hint="eastAsia" w:asciiTheme="minorEastAsia" w:hAnsiTheme="minorEastAsia" w:eastAsiaTheme="minorEastAsia"/>
                <w:kern w:val="0"/>
                <w:szCs w:val="21"/>
              </w:rPr>
              <w:t>风速0.</w:t>
            </w:r>
            <w:r>
              <w:rPr>
                <w:rFonts w:asciiTheme="minorEastAsia" w:hAnsiTheme="minorEastAsia" w:eastAsiaTheme="minorEastAsia"/>
                <w:kern w:val="0"/>
                <w:szCs w:val="21"/>
              </w:rPr>
              <w:t>3</w:t>
            </w:r>
            <w:r>
              <w:rPr>
                <w:rFonts w:hint="eastAsia" w:asciiTheme="minorEastAsia" w:hAnsiTheme="minorEastAsia" w:eastAsiaTheme="minorEastAsia"/>
                <w:kern w:val="0"/>
                <w:szCs w:val="21"/>
              </w:rPr>
              <w:t>5-0.</w:t>
            </w:r>
            <w:r>
              <w:rPr>
                <w:rFonts w:asciiTheme="minorEastAsia" w:hAnsiTheme="minorEastAsia" w:eastAsiaTheme="minorEastAsia"/>
                <w:kern w:val="0"/>
                <w:szCs w:val="21"/>
              </w:rPr>
              <w:t>7</w:t>
            </w:r>
            <w:r>
              <w:rPr>
                <w:rFonts w:hint="eastAsia" w:asciiTheme="minorEastAsia" w:hAnsiTheme="minorEastAsia" w:eastAsiaTheme="minorEastAsia"/>
                <w:kern w:val="0"/>
                <w:szCs w:val="21"/>
              </w:rPr>
              <w:t>5 m/s，定期进行维护、检修有</w:t>
            </w:r>
            <w:r>
              <w:rPr>
                <w:rFonts w:asciiTheme="minorEastAsia" w:hAnsiTheme="minorEastAsia" w:eastAsiaTheme="minorEastAsia"/>
                <w:kern w:val="0"/>
                <w:szCs w:val="21"/>
              </w:rPr>
              <w:t>记录</w:t>
            </w:r>
            <w:r>
              <w:rPr>
                <w:rFonts w:hint="eastAsia" w:asciiTheme="minorEastAsia" w:hAnsiTheme="minorEastAsia" w:eastAsiaTheme="minorEastAsia"/>
                <w:kern w:val="0"/>
                <w:szCs w:val="21"/>
              </w:rPr>
              <w:t>；</w:t>
            </w:r>
            <w:r>
              <w:rPr>
                <w:rFonts w:asciiTheme="minorEastAsia" w:hAnsiTheme="minorEastAsia" w:eastAsiaTheme="minorEastAsia"/>
                <w:kern w:val="0"/>
                <w:szCs w:val="21"/>
              </w:rPr>
              <w:t>屋顶风机固定无松动、无异常噪声</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w:t>
            </w:r>
            <w:r>
              <w:rPr>
                <w:rFonts w:asciiTheme="minorEastAsia" w:hAnsiTheme="minorEastAsia" w:eastAsiaTheme="minorEastAsia"/>
                <w:kern w:val="0"/>
                <w:szCs w:val="21"/>
              </w:rPr>
              <w:t>风速测定</w:t>
            </w:r>
            <w:r>
              <w:rPr>
                <w:rFonts w:hint="eastAsia" w:asciiTheme="minorEastAsia" w:hAnsiTheme="minorEastAsia" w:eastAsiaTheme="minorEastAsia"/>
                <w:bCs/>
                <w:kern w:val="0"/>
                <w:szCs w:val="21"/>
              </w:rPr>
              <w:t>、查阅记录</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hint="default" w:asciiTheme="minorEastAsia" w:hAnsiTheme="minorEastAsia" w:eastAsiaTheme="minorEastAsia"/>
                <w:bCs/>
                <w:kern w:val="0"/>
                <w:szCs w:val="21"/>
                <w:lang w:val="en-US" w:eastAsia="zh-CN"/>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hint="default" w:asciiTheme="minorEastAsia" w:hAnsiTheme="minorEastAsia" w:eastAsiaTheme="minorEastAsia"/>
                <w:bCs/>
                <w:kern w:val="0"/>
                <w:szCs w:val="21"/>
                <w:lang w:val="en-US" w:eastAsia="zh-CN"/>
              </w:rPr>
            </w:pPr>
            <w:r>
              <w:rPr>
                <w:rFonts w:hint="eastAsia" w:asciiTheme="minorEastAsia" w:hAnsiTheme="minorEastAsia" w:eastAsiaTheme="minorEastAsia"/>
                <w:bCs/>
                <w:kern w:val="0"/>
                <w:szCs w:val="21"/>
                <w:lang w:val="en-US" w:eastAsia="zh-CN"/>
              </w:rPr>
              <w:t>风速不够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根据需要在通风橱管路上安装有毒有害气体的吸附或处理装置（如</w:t>
            </w:r>
            <w:r>
              <w:rPr>
                <w:rFonts w:asciiTheme="minorEastAsia" w:hAnsiTheme="minorEastAsia" w:eastAsiaTheme="minorEastAsia"/>
                <w:kern w:val="0"/>
                <w:szCs w:val="21"/>
              </w:rPr>
              <w:t>活性炭、光催化分</w:t>
            </w:r>
            <w:r>
              <w:rPr>
                <w:rFonts w:hint="eastAsia" w:asciiTheme="minorEastAsia" w:hAnsiTheme="minorEastAsia" w:eastAsiaTheme="minorEastAsia"/>
                <w:kern w:val="0"/>
                <w:szCs w:val="21"/>
              </w:rPr>
              <w:t>解</w:t>
            </w:r>
            <w:r>
              <w:rPr>
                <w:rFonts w:asciiTheme="minorEastAsia" w:hAnsiTheme="minorEastAsia" w:eastAsiaTheme="minorEastAsia"/>
                <w:kern w:val="0"/>
                <w:szCs w:val="21"/>
              </w:rPr>
              <w:t>、水喷淋等</w:t>
            </w:r>
            <w:r>
              <w:rPr>
                <w:rFonts w:hint="eastAsia" w:asciiTheme="minorEastAsia" w:hAnsiTheme="minorEastAsia" w:eastAsiaTheme="minorEastAsia"/>
                <w:kern w:val="0"/>
                <w:szCs w:val="21"/>
              </w:rPr>
              <w:t>）</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查看</w:t>
            </w:r>
            <w:r>
              <w:rPr>
                <w:rFonts w:asciiTheme="minorEastAsia" w:hAnsiTheme="minorEastAsia" w:eastAsiaTheme="minorEastAsia"/>
                <w:bCs/>
                <w:kern w:val="0"/>
                <w:szCs w:val="21"/>
              </w:rPr>
              <w:t>现场</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hint="default" w:asciiTheme="minorEastAsia" w:hAnsiTheme="minorEastAsia" w:eastAsiaTheme="minorEastAsia"/>
                <w:bCs/>
                <w:kern w:val="0"/>
                <w:szCs w:val="21"/>
                <w:lang w:val="en-US" w:eastAsia="zh-CN"/>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hint="eastAsia" w:asciiTheme="minorEastAsia" w:hAnsiTheme="minorEastAsia" w:eastAsiaTheme="minorEastAsia"/>
                <w:bCs/>
                <w:kern w:val="0"/>
                <w:szCs w:val="21"/>
                <w:lang w:val="en-US" w:eastAsia="zh-CN"/>
              </w:rPr>
            </w:pPr>
            <w:r>
              <w:rPr>
                <w:rFonts w:hint="eastAsia" w:asciiTheme="minorEastAsia" w:hAnsiTheme="minorEastAsia" w:eastAsiaTheme="minorEastAsia"/>
                <w:bCs/>
                <w:kern w:val="0"/>
                <w:szCs w:val="21"/>
                <w:lang w:val="en-US" w:eastAsia="zh-CN"/>
              </w:rPr>
              <w:t>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hint="eastAsia" w:asciiTheme="minorEastAsia" w:hAnsiTheme="minorEastAsia" w:eastAsiaTheme="minorEastAsia"/>
                <w:bCs/>
                <w:kern w:val="0"/>
                <w:szCs w:val="21"/>
                <w:lang w:val="en-US" w:eastAsia="zh-CN"/>
              </w:rPr>
            </w:pPr>
            <w:r>
              <w:rPr>
                <w:rFonts w:hint="eastAsia" w:asciiTheme="minorEastAsia" w:hAnsiTheme="minorEastAsia" w:eastAsiaTheme="minorEastAsia"/>
                <w:bCs/>
                <w:kern w:val="0"/>
                <w:szCs w:val="21"/>
                <w:lang w:val="en-US" w:eastAsia="zh-CN"/>
              </w:rPr>
              <w:t>完善</w:t>
            </w:r>
            <w:r>
              <w:rPr>
                <w:rFonts w:hint="eastAsia" w:asciiTheme="minorEastAsia" w:hAnsiTheme="minorEastAsia" w:eastAsiaTheme="minorEastAsia"/>
                <w:kern w:val="0"/>
                <w:szCs w:val="21"/>
              </w:rPr>
              <w:t>通风橱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6.3.5</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进行实验时，可调玻璃视窗开至据台面10</w:t>
            </w:r>
            <w:r>
              <w:rPr>
                <w:rFonts w:asciiTheme="minorEastAsia" w:hAnsiTheme="minorEastAsia" w:eastAsiaTheme="minorEastAsia"/>
                <w:kern w:val="0"/>
                <w:szCs w:val="21"/>
              </w:rPr>
              <w:t>-</w:t>
            </w:r>
            <w:r>
              <w:rPr>
                <w:rFonts w:hint="eastAsia" w:asciiTheme="minorEastAsia" w:hAnsiTheme="minorEastAsia" w:eastAsiaTheme="minorEastAsia"/>
                <w:kern w:val="0"/>
                <w:szCs w:val="21"/>
              </w:rPr>
              <w:t>15cm，保持</w:t>
            </w:r>
            <w:r>
              <w:rPr>
                <w:rFonts w:asciiTheme="minorEastAsia" w:hAnsiTheme="minorEastAsia" w:eastAsiaTheme="minorEastAsia"/>
                <w:kern w:val="0"/>
                <w:szCs w:val="21"/>
              </w:rPr>
              <w:t>通风效果，并保护</w:t>
            </w:r>
            <w:r>
              <w:rPr>
                <w:rFonts w:hint="eastAsia" w:asciiTheme="minorEastAsia" w:hAnsiTheme="minorEastAsia" w:eastAsiaTheme="minorEastAsia"/>
                <w:kern w:val="0"/>
                <w:szCs w:val="21"/>
              </w:rPr>
              <w:t>操作人员胸部以上部位</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r>
              <w:rPr>
                <w:rFonts w:asciiTheme="minorEastAsia" w:hAnsiTheme="minorEastAsia" w:eastAsiaTheme="minorEastAsia"/>
                <w:bCs/>
                <w:kern w:val="0"/>
                <w:szCs w:val="21"/>
              </w:rPr>
              <w:t>玻璃视窗材料应是钢化玻璃</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完善</w:t>
            </w:r>
            <w:r>
              <w:rPr>
                <w:rFonts w:hint="eastAsia" w:asciiTheme="minorEastAsia" w:hAnsiTheme="minorEastAsia" w:eastAsiaTheme="minorEastAsia"/>
                <w:kern w:val="0"/>
                <w:szCs w:val="21"/>
              </w:rPr>
              <w:t>通风橱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6.3.6</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完善</w:t>
            </w:r>
            <w:r>
              <w:rPr>
                <w:rFonts w:hint="eastAsia" w:asciiTheme="minorEastAsia" w:hAnsiTheme="minorEastAsia" w:eastAsiaTheme="minorEastAsia"/>
                <w:kern w:val="0"/>
                <w:szCs w:val="21"/>
              </w:rPr>
              <w:t>通风橱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6.3.7</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通风橱内应避免放置过多物品、器材，以免干扰空气的正常流动；通风橱内放置</w:t>
            </w:r>
            <w:r>
              <w:rPr>
                <w:rFonts w:asciiTheme="minorEastAsia" w:hAnsiTheme="minorEastAsia" w:eastAsiaTheme="minorEastAsia"/>
                <w:kern w:val="0"/>
                <w:szCs w:val="21"/>
              </w:rPr>
              <w:t>物品</w:t>
            </w:r>
            <w:r>
              <w:rPr>
                <w:rFonts w:hint="eastAsia" w:asciiTheme="minorEastAsia" w:hAnsiTheme="minorEastAsia" w:eastAsiaTheme="minorEastAsia"/>
                <w:kern w:val="0"/>
                <w:szCs w:val="21"/>
              </w:rPr>
              <w:t>应距离调节门内侧15cm左右，以免</w:t>
            </w:r>
            <w:r>
              <w:rPr>
                <w:rFonts w:asciiTheme="minorEastAsia" w:hAnsiTheme="minorEastAsia" w:eastAsiaTheme="minorEastAsia"/>
                <w:kern w:val="0"/>
                <w:szCs w:val="21"/>
              </w:rPr>
              <w:t>掉落</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需</w:t>
            </w:r>
            <w:r>
              <w:rPr>
                <w:rFonts w:hint="eastAsia" w:asciiTheme="minorEastAsia" w:hAnsiTheme="minorEastAsia" w:eastAsiaTheme="minorEastAsia"/>
                <w:bCs/>
                <w:kern w:val="0"/>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6.3.8</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涉及</w:t>
            </w:r>
            <w:r>
              <w:rPr>
                <w:rFonts w:asciiTheme="minorEastAsia" w:hAnsiTheme="minorEastAsia" w:eastAsiaTheme="minorEastAsia"/>
                <w:kern w:val="0"/>
                <w:szCs w:val="21"/>
              </w:rPr>
              <w:t>易燃易爆有机试剂的通风</w:t>
            </w:r>
            <w:r>
              <w:rPr>
                <w:rFonts w:hint="eastAsia" w:asciiTheme="minorEastAsia" w:hAnsiTheme="minorEastAsia" w:eastAsiaTheme="minorEastAsia"/>
                <w:kern w:val="0"/>
                <w:szCs w:val="21"/>
              </w:rPr>
              <w:t>橱</w:t>
            </w:r>
            <w:r>
              <w:rPr>
                <w:rFonts w:asciiTheme="minorEastAsia" w:hAnsiTheme="minorEastAsia" w:eastAsiaTheme="minorEastAsia"/>
                <w:kern w:val="0"/>
                <w:szCs w:val="21"/>
              </w:rPr>
              <w:t>内不得安装电源插座</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6.3.9</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配备通风罩等的实验场所，</w:t>
            </w:r>
            <w:r>
              <w:rPr>
                <w:rFonts w:asciiTheme="minorEastAsia" w:hAnsiTheme="minorEastAsia" w:eastAsiaTheme="minorEastAsia"/>
                <w:kern w:val="0"/>
                <w:szCs w:val="21"/>
              </w:rPr>
              <w:t>换气扇、风机使用正常</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出口是否堵塞</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6.4</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hint="eastAsia" w:asciiTheme="minorEastAsia" w:hAnsiTheme="minorEastAsia" w:eastAsiaTheme="minorEastAsia"/>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6.4.1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在剧毒品、病原微生物，特种设备和放射源存放点等重点</w:t>
            </w:r>
            <w:r>
              <w:rPr>
                <w:rFonts w:asciiTheme="minorEastAsia" w:hAnsiTheme="minorEastAsia" w:eastAsiaTheme="minorEastAsia"/>
                <w:szCs w:val="21"/>
              </w:rPr>
              <w:t>场所</w:t>
            </w:r>
            <w:r>
              <w:rPr>
                <w:rFonts w:hint="eastAsia" w:asciiTheme="minorEastAsia" w:hAnsiTheme="minorEastAsia" w:eastAsiaTheme="minorEastAsia"/>
                <w:szCs w:val="21"/>
              </w:rPr>
              <w:t>安装门禁和监控设施，运转正常，有专人管理</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hint="default" w:asciiTheme="minorEastAsia" w:hAnsiTheme="minorEastAsia" w:eastAsiaTheme="minorEastAsia"/>
                <w:bCs/>
                <w:kern w:val="0"/>
                <w:szCs w:val="21"/>
                <w:lang w:val="en-US" w:eastAsia="zh-CN"/>
              </w:rPr>
            </w:pPr>
            <w:r>
              <w:rPr>
                <w:rFonts w:hint="eastAsia" w:asciiTheme="minorEastAsia" w:hAnsiTheme="minorEastAsia" w:eastAsiaTheme="minorEastAsia"/>
                <w:bCs/>
                <w:kern w:val="0"/>
                <w:szCs w:val="21"/>
                <w:lang w:val="en-US" w:eastAsia="zh-CN"/>
              </w:rPr>
              <w:t>学校监控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6.4.2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监控不留死角，图像清晰，人员出入记录可查，视频记录存储时间大于1个月</w:t>
            </w:r>
            <w:r>
              <w:rPr>
                <w:rFonts w:asciiTheme="minorEastAsia" w:hAnsiTheme="minorEastAsia" w:eastAsiaTheme="minorEastAsia"/>
                <w:kern w:val="0"/>
                <w:szCs w:val="21"/>
              </w:rPr>
              <w:t xml:space="preserve"> </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学校监控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6.4.3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szCs w:val="21"/>
              </w:rPr>
            </w:pPr>
            <w:r>
              <w:rPr>
                <w:rFonts w:asciiTheme="minorEastAsia" w:hAnsiTheme="minorEastAsia" w:eastAsiaTheme="minorEastAsia"/>
                <w:szCs w:val="21"/>
              </w:rPr>
              <w:t>实验室采用门禁系统</w:t>
            </w:r>
            <w:r>
              <w:rPr>
                <w:rFonts w:hint="eastAsia" w:asciiTheme="minorEastAsia" w:hAnsiTheme="minorEastAsia" w:eastAsiaTheme="minorEastAsia"/>
                <w:szCs w:val="21"/>
              </w:rPr>
              <w:t>的</w:t>
            </w:r>
            <w:r>
              <w:rPr>
                <w:rFonts w:asciiTheme="minorEastAsia" w:hAnsiTheme="minorEastAsia" w:eastAsiaTheme="minorEastAsia"/>
                <w:szCs w:val="21"/>
              </w:rPr>
              <w:t>，与实验室准入制度</w:t>
            </w:r>
            <w:r>
              <w:rPr>
                <w:rFonts w:hint="eastAsia" w:asciiTheme="minorEastAsia" w:hAnsiTheme="minorEastAsia" w:eastAsiaTheme="minorEastAsia"/>
                <w:szCs w:val="21"/>
              </w:rPr>
              <w:t>相</w:t>
            </w:r>
            <w:r>
              <w:rPr>
                <w:rFonts w:asciiTheme="minorEastAsia" w:hAnsiTheme="minorEastAsia" w:eastAsiaTheme="minorEastAsia"/>
                <w:szCs w:val="21"/>
              </w:rPr>
              <w:t>匹配</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bCs/>
                <w:kern w:val="0"/>
                <w:szCs w:val="21"/>
                <w:lang w:val="en-US" w:eastAsia="zh-CN"/>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hint="eastAsia" w:asciiTheme="minorEastAsia" w:hAnsiTheme="minorEastAsia" w:eastAsiaTheme="minorEastAsia"/>
                <w:bCs/>
                <w:kern w:val="0"/>
                <w:szCs w:val="21"/>
                <w:lang w:val="en-US" w:eastAsia="zh-CN"/>
              </w:rPr>
            </w:pPr>
            <w:r>
              <w:rPr>
                <w:rFonts w:hint="eastAsia" w:asciiTheme="minorEastAsia" w:hAnsiTheme="minorEastAsia" w:eastAsiaTheme="minorEastAsia"/>
                <w:bCs/>
                <w:kern w:val="0"/>
                <w:szCs w:val="21"/>
                <w:lang w:val="en-US" w:eastAsia="zh-CN"/>
              </w:rPr>
              <w:t>无</w:t>
            </w:r>
            <w:r>
              <w:rPr>
                <w:rFonts w:asciiTheme="minorEastAsia" w:hAnsiTheme="minorEastAsia" w:eastAsiaTheme="minorEastAsia"/>
                <w:szCs w:val="21"/>
              </w:rPr>
              <w:t>门禁系统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6.4.4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szCs w:val="21"/>
              </w:rPr>
            </w:pPr>
            <w:r>
              <w:rPr>
                <w:rFonts w:asciiTheme="minorEastAsia" w:hAnsiTheme="minorEastAsia" w:eastAsiaTheme="minorEastAsia"/>
                <w:szCs w:val="21"/>
              </w:rPr>
              <w:t>停电时</w:t>
            </w:r>
            <w:r>
              <w:rPr>
                <w:rFonts w:hint="eastAsia" w:asciiTheme="minorEastAsia" w:hAnsiTheme="minorEastAsia" w:eastAsiaTheme="minorEastAsia"/>
                <w:szCs w:val="21"/>
              </w:rPr>
              <w:t>，电子</w:t>
            </w:r>
            <w:r>
              <w:rPr>
                <w:rFonts w:asciiTheme="minorEastAsia" w:hAnsiTheme="minorEastAsia" w:eastAsiaTheme="minorEastAsia"/>
                <w:szCs w:val="21"/>
              </w:rPr>
              <w:t>门禁系统</w:t>
            </w:r>
            <w:r>
              <w:rPr>
                <w:rFonts w:hint="eastAsia" w:asciiTheme="minorEastAsia" w:hAnsiTheme="minorEastAsia" w:eastAsiaTheme="minorEastAsia"/>
                <w:szCs w:val="21"/>
              </w:rPr>
              <w:t>应</w:t>
            </w:r>
            <w:r>
              <w:rPr>
                <w:rFonts w:asciiTheme="minorEastAsia" w:hAnsiTheme="minorEastAsia" w:eastAsiaTheme="minorEastAsia"/>
                <w:szCs w:val="21"/>
              </w:rPr>
              <w:t>是开启状态</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853" w:type="dxa"/>
            <w:vAlign w:val="center"/>
          </w:tcPr>
          <w:p>
            <w:pPr>
              <w:widowControl/>
              <w:spacing w:line="300" w:lineRule="exact"/>
              <w:jc w:val="center"/>
              <w:rPr>
                <w:rFonts w:asciiTheme="minorEastAsia" w:hAnsiTheme="minorEastAsia" w:eastAsiaTheme="minorEastAsia"/>
                <w:bCs/>
                <w:kern w:val="0"/>
                <w:szCs w:val="21"/>
              </w:rPr>
            </w:pPr>
          </w:p>
        </w:tc>
        <w:tc>
          <w:tcPr>
            <w:tcW w:w="882" w:type="dxa"/>
            <w:vAlign w:val="center"/>
          </w:tcPr>
          <w:p>
            <w:pPr>
              <w:widowControl/>
              <w:spacing w:line="300" w:lineRule="exact"/>
              <w:jc w:val="center"/>
              <w:rPr>
                <w:rFonts w:asciiTheme="minorEastAsia" w:hAnsiTheme="minorEastAsia" w:eastAsiaTheme="minorEastAsia"/>
                <w:bCs/>
                <w:kern w:val="0"/>
                <w:szCs w:val="21"/>
              </w:rPr>
            </w:pPr>
          </w:p>
        </w:tc>
        <w:tc>
          <w:tcPr>
            <w:tcW w:w="2120" w:type="dxa"/>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无</w:t>
            </w:r>
            <w:r>
              <w:rPr>
                <w:rFonts w:asciiTheme="minorEastAsia" w:hAnsiTheme="minorEastAsia" w:eastAsiaTheme="minorEastAsia"/>
                <w:szCs w:val="21"/>
              </w:rPr>
              <w:t>门禁系统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6.5</w:t>
            </w:r>
          </w:p>
        </w:tc>
        <w:tc>
          <w:tcPr>
            <w:tcW w:w="13524"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szCs w:val="21"/>
              </w:rPr>
            </w:pPr>
            <w:r>
              <w:rPr>
                <w:rFonts w:hint="eastAsia" w:asciiTheme="minorEastAsia" w:hAnsiTheme="minorEastAsia" w:eastAsiaTheme="minorEastAsia"/>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6.5.1</w:t>
            </w:r>
          </w:p>
        </w:tc>
        <w:tc>
          <w:tcPr>
            <w:tcW w:w="5810" w:type="dxa"/>
            <w:shd w:val="clear" w:color="auto" w:fill="auto"/>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防爆实验室需符合防爆设计要求，安装防爆开关、防爆灯等，安装必要</w:t>
            </w:r>
            <w:r>
              <w:rPr>
                <w:rFonts w:asciiTheme="minorEastAsia" w:hAnsiTheme="minorEastAsia" w:eastAsiaTheme="minorEastAsia"/>
                <w:szCs w:val="21"/>
              </w:rPr>
              <w:t>的</w:t>
            </w:r>
            <w:r>
              <w:rPr>
                <w:rFonts w:hint="eastAsia" w:asciiTheme="minorEastAsia" w:hAnsiTheme="minorEastAsia" w:eastAsiaTheme="minorEastAsia"/>
                <w:szCs w:val="21"/>
              </w:rPr>
              <w:t>气体报警系统、监控系统及断电断水应急系统等</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szCs w:val="21"/>
                <w:lang w:val="en-US" w:eastAsia="zh-CN"/>
              </w:rPr>
            </w:pPr>
          </w:p>
        </w:tc>
        <w:tc>
          <w:tcPr>
            <w:tcW w:w="853" w:type="dxa"/>
            <w:vAlign w:val="center"/>
          </w:tcPr>
          <w:p>
            <w:pPr>
              <w:widowControl/>
              <w:spacing w:line="300" w:lineRule="exact"/>
              <w:jc w:val="center"/>
              <w:rPr>
                <w:rFonts w:asciiTheme="minorEastAsia" w:hAnsiTheme="minorEastAsia" w:eastAsiaTheme="minorEastAsia"/>
                <w:szCs w:val="21"/>
              </w:rPr>
            </w:pPr>
          </w:p>
        </w:tc>
        <w:tc>
          <w:tcPr>
            <w:tcW w:w="882" w:type="dxa"/>
            <w:vAlign w:val="center"/>
          </w:tcPr>
          <w:p>
            <w:pPr>
              <w:widowControl/>
              <w:spacing w:line="300" w:lineRule="exact"/>
              <w:jc w:val="center"/>
              <w:rPr>
                <w:rFonts w:asciiTheme="minorEastAsia" w:hAnsiTheme="minorEastAsia" w:eastAsiaTheme="minorEastAsia"/>
                <w:szCs w:val="21"/>
              </w:rPr>
            </w:pPr>
          </w:p>
        </w:tc>
        <w:tc>
          <w:tcPr>
            <w:tcW w:w="2120" w:type="dxa"/>
            <w:vAlign w:val="center"/>
          </w:tcPr>
          <w:p>
            <w:pPr>
              <w:widowControl/>
              <w:spacing w:line="300" w:lineRule="exact"/>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6.5.2</w:t>
            </w:r>
          </w:p>
        </w:tc>
        <w:tc>
          <w:tcPr>
            <w:tcW w:w="5810" w:type="dxa"/>
            <w:shd w:val="clear" w:color="auto" w:fill="auto"/>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hint="eastAsia" w:asciiTheme="minorEastAsia" w:hAnsiTheme="minorEastAsia" w:eastAsiaTheme="minorEastAsia"/>
                <w:szCs w:val="21"/>
                <w:lang w:eastAsia="zh-CN"/>
              </w:rPr>
            </w:pPr>
          </w:p>
        </w:tc>
        <w:tc>
          <w:tcPr>
            <w:tcW w:w="853" w:type="dxa"/>
            <w:vAlign w:val="center"/>
          </w:tcPr>
          <w:p>
            <w:pPr>
              <w:widowControl/>
              <w:spacing w:line="300" w:lineRule="exact"/>
              <w:jc w:val="center"/>
              <w:rPr>
                <w:rFonts w:asciiTheme="minorEastAsia" w:hAnsiTheme="minorEastAsia" w:eastAsiaTheme="minorEastAsia"/>
                <w:szCs w:val="21"/>
              </w:rPr>
            </w:pPr>
          </w:p>
        </w:tc>
        <w:tc>
          <w:tcPr>
            <w:tcW w:w="882" w:type="dxa"/>
            <w:vAlign w:val="center"/>
          </w:tcPr>
          <w:p>
            <w:pPr>
              <w:widowControl/>
              <w:spacing w:line="300" w:lineRule="exact"/>
              <w:jc w:val="center"/>
              <w:rPr>
                <w:rFonts w:asciiTheme="minorEastAsia" w:hAnsiTheme="minorEastAsia" w:eastAsiaTheme="minorEastAsia"/>
                <w:szCs w:val="21"/>
              </w:rPr>
            </w:pPr>
          </w:p>
        </w:tc>
        <w:tc>
          <w:tcPr>
            <w:tcW w:w="2120" w:type="dxa"/>
            <w:vAlign w:val="center"/>
          </w:tcPr>
          <w:p>
            <w:pPr>
              <w:widowControl/>
              <w:spacing w:line="300" w:lineRule="exact"/>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6.5.3</w:t>
            </w:r>
          </w:p>
        </w:tc>
        <w:tc>
          <w:tcPr>
            <w:tcW w:w="5810" w:type="dxa"/>
            <w:shd w:val="clear" w:color="auto" w:fill="auto"/>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对于有爆炸危险性的仪器设备，应使用合适的安全罩防护。</w:t>
            </w:r>
            <w:r>
              <w:rPr>
                <w:rFonts w:asciiTheme="minorEastAsia" w:hAnsiTheme="minorEastAsia" w:eastAsiaTheme="minorEastAsia"/>
                <w:szCs w:val="21"/>
              </w:rPr>
              <w:t xml:space="preserve"> </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599" w:type="dxa"/>
            <w:tcMar>
              <w:left w:w="45" w:type="dxa"/>
              <w:right w:w="45" w:type="dxa"/>
            </w:tcMar>
            <w:vAlign w:val="center"/>
          </w:tcPr>
          <w:p>
            <w:pPr>
              <w:widowControl/>
              <w:spacing w:line="300" w:lineRule="exact"/>
              <w:jc w:val="center"/>
              <w:rPr>
                <w:rFonts w:asciiTheme="minorEastAsia" w:hAnsiTheme="minorEastAsia" w:eastAsiaTheme="minorEastAsia"/>
                <w:szCs w:val="21"/>
              </w:rPr>
            </w:pPr>
          </w:p>
        </w:tc>
        <w:tc>
          <w:tcPr>
            <w:tcW w:w="853" w:type="dxa"/>
            <w:vAlign w:val="center"/>
          </w:tcPr>
          <w:p>
            <w:pPr>
              <w:widowControl/>
              <w:spacing w:line="300" w:lineRule="exact"/>
              <w:jc w:val="center"/>
              <w:rPr>
                <w:rFonts w:asciiTheme="minorEastAsia" w:hAnsiTheme="minorEastAsia" w:eastAsiaTheme="minorEastAsia"/>
                <w:szCs w:val="21"/>
              </w:rPr>
            </w:pPr>
          </w:p>
        </w:tc>
        <w:tc>
          <w:tcPr>
            <w:tcW w:w="882" w:type="dxa"/>
            <w:vAlign w:val="center"/>
          </w:tcPr>
          <w:p>
            <w:pPr>
              <w:widowControl/>
              <w:spacing w:line="300" w:lineRule="exact"/>
              <w:jc w:val="center"/>
              <w:rPr>
                <w:rFonts w:asciiTheme="minorEastAsia" w:hAnsiTheme="minorEastAsia" w:eastAsiaTheme="minorEastAsia"/>
                <w:szCs w:val="21"/>
              </w:rPr>
            </w:pPr>
          </w:p>
        </w:tc>
        <w:tc>
          <w:tcPr>
            <w:tcW w:w="2120" w:type="dxa"/>
            <w:vAlign w:val="center"/>
          </w:tcPr>
          <w:p>
            <w:pPr>
              <w:widowControl/>
              <w:spacing w:line="300" w:lineRule="exact"/>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无这类仪器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7</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kern w:val="0"/>
                <w:szCs w:val="21"/>
              </w:rPr>
              <w:t>7.1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用电基础安全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用电</w:t>
            </w:r>
            <w:r>
              <w:rPr>
                <w:bCs/>
                <w:kern w:val="0"/>
                <w:szCs w:val="21"/>
              </w:rPr>
              <w:t>功率匹配</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 xml:space="preserve">现场查看 </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eastAsia="zh-CN"/>
              </w:rPr>
            </w:pPr>
            <w:r>
              <w:rPr>
                <w:rFonts w:hint="eastAsia"/>
                <w:bCs/>
                <w:kern w:val="0"/>
                <w:szCs w:val="21"/>
              </w:rPr>
              <w:t>提醒标志</w:t>
            </w:r>
            <w:r>
              <w:rPr>
                <w:rFonts w:hint="eastAsia"/>
                <w:bCs/>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7.1.9</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配电柜/箱无物品遮挡并便于操作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7.1.10</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7.1.13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7.2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用水安全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7.2.1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水槽、</w:t>
            </w:r>
            <w:r>
              <w:rPr>
                <w:color w:val="0000FF"/>
                <w:kern w:val="0"/>
                <w:szCs w:val="21"/>
              </w:rPr>
              <w:t>地漏</w:t>
            </w:r>
            <w:r>
              <w:rPr>
                <w:kern w:val="0"/>
                <w:szCs w:val="21"/>
              </w:rPr>
              <w:t>及下水道畅通，水龙头、上下水管无破损</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default" w:eastAsia="宋体"/>
                <w:bCs/>
                <w:kern w:val="0"/>
                <w:szCs w:val="21"/>
                <w:lang w:val="en-US" w:eastAsia="zh-CN"/>
              </w:rPr>
            </w:pPr>
            <w:r>
              <w:rPr>
                <w:rFonts w:hint="eastAsia"/>
                <w:bCs/>
                <w:kern w:val="0"/>
                <w:szCs w:val="21"/>
                <w:lang w:val="en-US" w:eastAsia="zh-CN"/>
              </w:rPr>
              <w:t>实验室几乎没有</w:t>
            </w:r>
            <w:r>
              <w:rPr>
                <w:kern w:val="0"/>
                <w:szCs w:val="21"/>
              </w:rPr>
              <w:t>地漏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pPr>
              <w:widowControl/>
              <w:tabs>
                <w:tab w:val="left" w:pos="630"/>
              </w:tabs>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default" w:eastAsia="宋体"/>
                <w:bCs/>
                <w:kern w:val="0"/>
                <w:szCs w:val="21"/>
                <w:lang w:val="en-US" w:eastAsia="zh-CN"/>
              </w:rPr>
            </w:pPr>
            <w:r>
              <w:rPr>
                <w:rFonts w:hint="eastAsia"/>
                <w:bCs/>
                <w:kern w:val="0"/>
                <w:szCs w:val="21"/>
                <w:lang w:val="en-US" w:eastAsia="zh-CN"/>
              </w:rPr>
              <w:t>防水也没有做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7.2.3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eastAsia="zh-CN"/>
              </w:rPr>
            </w:pPr>
            <w:r>
              <w:rPr>
                <w:rFonts w:hint="eastAsia"/>
                <w:bCs/>
                <w:kern w:val="0"/>
                <w:szCs w:val="21"/>
              </w:rPr>
              <w:t>提醒标志</w:t>
            </w:r>
            <w:r>
              <w:rPr>
                <w:rFonts w:hint="eastAsia"/>
                <w:bCs/>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 xml:space="preserve">位置 </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询问</w:t>
            </w:r>
            <w:r>
              <w:rPr>
                <w:bCs/>
                <w:kern w:val="0"/>
                <w:szCs w:val="21"/>
              </w:rPr>
              <w:t>实验人员</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rFonts w:hint="default" w:eastAsia="宋体"/>
                <w:bCs/>
                <w:kern w:val="0"/>
                <w:szCs w:val="21"/>
                <w:lang w:val="en-US" w:eastAsia="zh-CN"/>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default" w:eastAsia="宋体"/>
                <w:bCs/>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7.3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查看发放登记纪录</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default" w:eastAsia="宋体"/>
                <w:bCs/>
                <w:kern w:val="0"/>
                <w:szCs w:val="21"/>
                <w:lang w:val="en-US" w:eastAsia="zh-CN"/>
              </w:rPr>
            </w:pPr>
            <w:r>
              <w:rPr>
                <w:rFonts w:hint="eastAsia"/>
                <w:bCs/>
                <w:kern w:val="0"/>
                <w:szCs w:val="21"/>
                <w:lang w:val="en-US" w:eastAsia="zh-CN"/>
              </w:rPr>
              <w:t>需强调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 xml:space="preserve">现场查看、询问 </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r>
              <w:rPr>
                <w:rFonts w:hint="eastAsia"/>
                <w:bCs/>
                <w:kern w:val="0"/>
                <w:szCs w:val="21"/>
                <w:lang w:val="en-US" w:eastAsia="zh-CN"/>
              </w:rPr>
              <w:t>需强调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eastAsia="zh-CN"/>
              </w:rPr>
            </w:pPr>
            <w:r>
              <w:rPr>
                <w:rFonts w:hint="eastAsia"/>
                <w:bCs/>
                <w:kern w:val="0"/>
                <w:szCs w:val="21"/>
              </w:rPr>
              <w:t>提醒标志</w:t>
            </w:r>
            <w:r>
              <w:rPr>
                <w:rFonts w:hint="eastAsia"/>
                <w:bCs/>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r>
              <w:rPr>
                <w:bCs/>
                <w:kern w:val="0"/>
                <w:szCs w:val="21"/>
              </w:rPr>
              <w:t>询问</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 xml:space="preserve">标识 </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7.3.8</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val="en-US" w:eastAsia="zh-CN"/>
              </w:rPr>
            </w:pPr>
            <w:r>
              <w:rPr>
                <w:rFonts w:hint="eastAsia"/>
                <w:bCs/>
                <w:kern w:val="0"/>
                <w:szCs w:val="21"/>
                <w:lang w:val="en-US" w:eastAsia="zh-CN"/>
              </w:rPr>
              <w:t>需补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实验纪录</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val="en-US" w:eastAsia="zh-CN"/>
              </w:rPr>
            </w:pPr>
            <w:r>
              <w:rPr>
                <w:rFonts w:hint="eastAsia"/>
                <w:bCs/>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r>
              <w:rPr>
                <w:rFonts w:hint="eastAsia"/>
                <w:bCs/>
                <w:kern w:val="0"/>
                <w:szCs w:val="21"/>
                <w:lang w:val="en-US" w:eastAsia="zh-CN"/>
              </w:rPr>
              <w:t>需强调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查看提醒标识</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r>
              <w:rPr>
                <w:rFonts w:hint="eastAsia"/>
                <w:kern w:val="0"/>
                <w:szCs w:val="21"/>
                <w:lang w:val="en-US" w:eastAsia="zh-CN"/>
              </w:rPr>
              <w:t>无</w:t>
            </w:r>
            <w:r>
              <w:rPr>
                <w:kern w:val="0"/>
                <w:szCs w:val="21"/>
              </w:rPr>
              <w:t>高磁场实验室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7.4.6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实验记录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8.1</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8.1.4</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购买危险化学品应有规范的验收记录</w:t>
            </w:r>
            <w:bookmarkStart w:id="0" w:name="_GoBack"/>
            <w:bookmarkEnd w:id="0"/>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查看验收记录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化学试剂存放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8.2.1</w:t>
            </w:r>
          </w:p>
        </w:tc>
        <w:tc>
          <w:tcPr>
            <w:tcW w:w="5810" w:type="dxa"/>
            <w:shd w:val="clear" w:color="auto" w:fill="auto"/>
            <w:tcMar>
              <w:left w:w="45" w:type="dxa"/>
              <w:right w:w="45" w:type="dxa"/>
            </w:tcMar>
            <w:vAlign w:val="center"/>
          </w:tcPr>
          <w:p>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8.2.2</w:t>
            </w:r>
          </w:p>
        </w:tc>
        <w:tc>
          <w:tcPr>
            <w:tcW w:w="5810" w:type="dxa"/>
            <w:shd w:val="clear" w:color="auto" w:fill="auto"/>
            <w:tcMar>
              <w:left w:w="45" w:type="dxa"/>
              <w:right w:w="45" w:type="dxa"/>
            </w:tcMar>
            <w:vAlign w:val="center"/>
          </w:tcPr>
          <w:p>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不应超过100L或100kg，其中易燃易爆性化学品的存放总量不应超过50L 或50kg，且单一包装容器不应大于20L或20kg</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如单个实验装置存在10L以上甲类物质储罐，或20L以上乙类物质储罐，或50L以上丙类物质储罐，需加装泄露报警器及通风联动装置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8.2.6</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rFonts w:ascii="宋体" w:hAnsi="ºÚÌå" w:cs="宋体"/>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3260" w:type="dxa"/>
            <w:shd w:val="clear" w:color="auto" w:fill="auto"/>
            <w:tcMar>
              <w:left w:w="45" w:type="dxa"/>
              <w:right w:w="45" w:type="dxa"/>
            </w:tcMar>
            <w:vAlign w:val="center"/>
          </w:tcPr>
          <w:p>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8.2.7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rFonts w:hint="default" w:eastAsia="宋体"/>
                <w:bCs/>
                <w:kern w:val="0"/>
                <w:szCs w:val="21"/>
                <w:lang w:val="en-US" w:eastAsia="zh-CN"/>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default" w:eastAsia="宋体"/>
                <w:bCs/>
                <w:kern w:val="0"/>
                <w:szCs w:val="21"/>
                <w:lang w:val="en-US" w:eastAsia="zh-CN"/>
              </w:rPr>
            </w:pPr>
            <w:r>
              <w:rPr>
                <w:rFonts w:hint="eastAsia"/>
                <w:bCs/>
                <w:kern w:val="0"/>
                <w:szCs w:val="21"/>
                <w:lang w:val="en-US" w:eastAsia="zh-CN"/>
              </w:rPr>
              <w:t>应定期清理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是否有作业指导书</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r>
              <w:rPr>
                <w:rFonts w:hint="eastAsia"/>
                <w:kern w:val="0"/>
                <w:szCs w:val="21"/>
                <w:lang w:val="en-US" w:eastAsia="zh-CN"/>
              </w:rPr>
              <w:t>学院有统一</w:t>
            </w:r>
            <w:r>
              <w:rPr>
                <w:kern w:val="0"/>
                <w:szCs w:val="21"/>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控制</w:t>
            </w:r>
            <w:r>
              <w:rPr>
                <w:kern w:val="0"/>
                <w:szCs w:val="21"/>
              </w:rPr>
              <w:t>系统工作正常</w:t>
            </w:r>
          </w:p>
        </w:tc>
        <w:tc>
          <w:tcPr>
            <w:tcW w:w="599" w:type="dxa"/>
            <w:tcMar>
              <w:left w:w="45" w:type="dxa"/>
              <w:right w:w="45" w:type="dxa"/>
            </w:tcMar>
            <w:vAlign w:val="center"/>
          </w:tcPr>
          <w:p>
            <w:pPr>
              <w:widowControl/>
              <w:spacing w:line="300" w:lineRule="exact"/>
              <w:jc w:val="center"/>
              <w:rPr>
                <w:rFonts w:hint="eastAsia" w:eastAsia="宋体"/>
                <w:kern w:val="0"/>
                <w:szCs w:val="21"/>
                <w:lang w:val="en-US"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599" w:type="dxa"/>
            <w:tcMar>
              <w:left w:w="45" w:type="dxa"/>
              <w:right w:w="45" w:type="dxa"/>
            </w:tcMar>
            <w:vAlign w:val="center"/>
          </w:tcPr>
          <w:p>
            <w:pPr>
              <w:widowControl/>
              <w:spacing w:line="300" w:lineRule="exact"/>
              <w:jc w:val="center"/>
              <w:rPr>
                <w:rFonts w:hint="eastAsia" w:eastAsia="宋体"/>
                <w:kern w:val="0"/>
                <w:szCs w:val="21"/>
                <w:lang w:val="en-US"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8.3.6</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599" w:type="dxa"/>
            <w:tcMar>
              <w:left w:w="45" w:type="dxa"/>
              <w:right w:w="45" w:type="dxa"/>
            </w:tcMar>
            <w:vAlign w:val="center"/>
          </w:tcPr>
          <w:p>
            <w:pPr>
              <w:widowControl/>
              <w:spacing w:line="300" w:lineRule="exact"/>
              <w:jc w:val="both"/>
              <w:rPr>
                <w:rFonts w:hint="default"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剧毒品管理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2名分别掌管了钥匙和密码的保管人同时到场时才能开启保险柜</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val="en-US" w:eastAsia="zh-CN"/>
              </w:rPr>
            </w:pPr>
            <w:r>
              <w:rPr>
                <w:rFonts w:hint="eastAsia"/>
                <w:bCs/>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8.4.2</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hint="eastAsia" w:ascii="宋体" w:cs="宋体"/>
                <w:kern w:val="0"/>
                <w:szCs w:val="21"/>
              </w:rPr>
              <w:t>应</w:t>
            </w:r>
            <w:r>
              <w:rPr>
                <w:rFonts w:hint="eastAsia"/>
                <w:kern w:val="0"/>
                <w:szCs w:val="21"/>
              </w:rPr>
              <w:t>严格</w:t>
            </w:r>
            <w:r>
              <w:rPr>
                <w:kern w:val="0"/>
                <w:szCs w:val="21"/>
              </w:rPr>
              <w:t>记录</w:t>
            </w:r>
            <w:r>
              <w:rPr>
                <w:rFonts w:hint="eastAsia" w:ascii="宋体" w:cs="宋体"/>
                <w:kern w:val="0"/>
                <w:szCs w:val="21"/>
              </w:rPr>
              <w:t>品种、规格以</w:t>
            </w:r>
            <w:r>
              <w:rPr>
                <w:rFonts w:ascii="宋体" w:cs="宋体"/>
                <w:kern w:val="0"/>
                <w:szCs w:val="21"/>
              </w:rPr>
              <w:t>及</w:t>
            </w:r>
            <w:r>
              <w:rPr>
                <w:rFonts w:hint="eastAsia" w:ascii="宋体" w:cs="宋体"/>
                <w:kern w:val="0"/>
                <w:szCs w:val="21"/>
              </w:rPr>
              <w:t>购入、发放、退回的日期、单位及经手人、数量以及结存数量</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val="en-US" w:eastAsia="zh-CN"/>
              </w:rPr>
            </w:pPr>
            <w:r>
              <w:rPr>
                <w:rFonts w:hint="eastAsia"/>
                <w:bCs/>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8.4.3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使用时有两人同时在场，且计量取用后立即放回保险柜，</w:t>
            </w:r>
            <w:r>
              <w:rPr>
                <w:rFonts w:hint="eastAsia" w:ascii="宋体" w:cs="宋体"/>
                <w:kern w:val="0"/>
                <w:szCs w:val="21"/>
              </w:rPr>
              <w:t>详细记载用途，</w:t>
            </w:r>
            <w:r>
              <w:rPr>
                <w:kern w:val="0"/>
                <w:szCs w:val="21"/>
              </w:rPr>
              <w:t>双人签字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val="en-US" w:eastAsia="zh-CN"/>
              </w:rPr>
            </w:pPr>
            <w:r>
              <w:rPr>
                <w:rFonts w:hint="eastAsia"/>
                <w:bCs/>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8.4.4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val="en-US" w:eastAsia="zh-CN"/>
              </w:rPr>
            </w:pPr>
            <w:r>
              <w:rPr>
                <w:rFonts w:hint="eastAsia"/>
                <w:bCs/>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8.5</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8.6</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hAnsi="MS Mincho" w:eastAsia="MS Mincho"/>
                <w:bCs/>
                <w:kern w:val="0"/>
                <w:szCs w:val="21"/>
              </w:rPr>
              <w:t>“</w:t>
            </w:r>
            <w:r>
              <w:rPr>
                <w:bCs/>
                <w:kern w:val="0"/>
                <w:szCs w:val="21"/>
              </w:rPr>
              <w:t>满、使用中、用完</w:t>
            </w:r>
            <w:r>
              <w:rPr>
                <w:rFonts w:ascii="MS Mincho" w:hAnsi="MS Mincho" w:eastAsia="MS Mincho"/>
                <w:bCs/>
                <w:kern w:val="0"/>
                <w:szCs w:val="21"/>
              </w:rPr>
              <w:t>”</w:t>
            </w:r>
            <w:r>
              <w:rPr>
                <w:bCs/>
                <w:kern w:val="0"/>
                <w:szCs w:val="21"/>
              </w:rPr>
              <w:t>三种状态</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8.6.9</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8.6.10</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hint="eastAsia" w:ascii="宋体" w:cs="宋体"/>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8.6.11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8.7</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r>
              <w:rPr>
                <w:kern w:val="0"/>
                <w:szCs w:val="21"/>
              </w:rPr>
              <w:t>统一的化学实验废弃物标签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default" w:eastAsia="宋体"/>
                <w:bCs/>
                <w:kern w:val="0"/>
                <w:szCs w:val="21"/>
                <w:lang w:val="en-US" w:eastAsia="zh-CN"/>
              </w:rPr>
            </w:pPr>
            <w:r>
              <w:rPr>
                <w:kern w:val="0"/>
                <w:szCs w:val="21"/>
              </w:rPr>
              <w:t>废弃物分类容器</w:t>
            </w:r>
            <w:r>
              <w:rPr>
                <w:rFonts w:hint="eastAsia"/>
                <w:kern w:val="0"/>
                <w:szCs w:val="21"/>
                <w:lang w:eastAsia="zh-CN"/>
              </w:rPr>
              <w:t>，</w:t>
            </w:r>
            <w:r>
              <w:rPr>
                <w:rFonts w:hint="eastAsia"/>
                <w:kern w:val="0"/>
                <w:szCs w:val="21"/>
                <w:lang w:val="en-US" w:eastAsia="zh-CN"/>
              </w:rPr>
              <w:t>学校统一？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8.7.7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8.8.1</w:t>
            </w:r>
          </w:p>
        </w:tc>
        <w:tc>
          <w:tcPr>
            <w:tcW w:w="5810" w:type="dxa"/>
            <w:shd w:val="clear" w:color="auto" w:fill="auto"/>
            <w:tcMar>
              <w:left w:w="45" w:type="dxa"/>
              <w:right w:w="45" w:type="dxa"/>
            </w:tcMar>
            <w:vAlign w:val="center"/>
          </w:tcPr>
          <w:p>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r>
              <w:rPr>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8.8.2</w:t>
            </w:r>
          </w:p>
        </w:tc>
        <w:tc>
          <w:tcPr>
            <w:tcW w:w="581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r>
              <w:rPr>
                <w:kern w:val="0"/>
                <w:szCs w:val="21"/>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8.8.3</w:t>
            </w:r>
          </w:p>
        </w:tc>
        <w:tc>
          <w:tcPr>
            <w:tcW w:w="581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8.8.4</w:t>
            </w:r>
          </w:p>
        </w:tc>
        <w:tc>
          <w:tcPr>
            <w:tcW w:w="5810" w:type="dxa"/>
            <w:shd w:val="clear" w:color="auto" w:fill="auto"/>
            <w:tcMar>
              <w:left w:w="45" w:type="dxa"/>
              <w:right w:w="45" w:type="dxa"/>
            </w:tcMar>
            <w:vAlign w:val="center"/>
          </w:tcPr>
          <w:p>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8.8.5</w:t>
            </w:r>
          </w:p>
        </w:tc>
        <w:tc>
          <w:tcPr>
            <w:tcW w:w="5810" w:type="dxa"/>
            <w:shd w:val="clear" w:color="auto" w:fill="auto"/>
            <w:tcMar>
              <w:left w:w="45" w:type="dxa"/>
              <w:right w:w="45" w:type="dxa"/>
            </w:tcMar>
            <w:vAlign w:val="center"/>
          </w:tcPr>
          <w:p>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台账</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8.9</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default" w:eastAsia="宋体"/>
                <w:bCs/>
                <w:kern w:val="0"/>
                <w:szCs w:val="21"/>
                <w:lang w:val="en-US" w:eastAsia="zh-CN"/>
              </w:rPr>
            </w:pPr>
            <w:r>
              <w:rPr>
                <w:rFonts w:hint="eastAsia"/>
                <w:bCs/>
                <w:kern w:val="0"/>
                <w:szCs w:val="21"/>
                <w:lang w:val="en-US" w:eastAsia="zh-CN"/>
              </w:rPr>
              <w:t>肯定没有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信息</w:t>
            </w:r>
            <w:r>
              <w:rPr>
                <w:bCs/>
                <w:kern w:val="0"/>
                <w:szCs w:val="21"/>
              </w:rPr>
              <w:t>不缺项</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pPr>
              <w:widowControl/>
              <w:spacing w:line="300" w:lineRule="exact"/>
              <w:jc w:val="left"/>
              <w:rPr>
                <w:bCs/>
                <w:kern w:val="0"/>
                <w:szCs w:val="21"/>
              </w:rPr>
            </w:pP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8.9.8</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化学</w:t>
            </w:r>
            <w:r>
              <w:rPr>
                <w:szCs w:val="21"/>
              </w:rPr>
              <w:t>实验室内有吸液（油）棉/条带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pPr>
              <w:widowControl/>
              <w:spacing w:line="300" w:lineRule="exact"/>
              <w:jc w:val="left"/>
              <w:rPr>
                <w:bCs/>
                <w:kern w:val="0"/>
                <w:szCs w:val="21"/>
              </w:rPr>
            </w:pP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default" w:eastAsia="宋体"/>
                <w:bCs/>
                <w:kern w:val="0"/>
                <w:szCs w:val="21"/>
                <w:lang w:val="en-US" w:eastAsia="zh-CN"/>
              </w:rPr>
            </w:pPr>
            <w:r>
              <w:rPr>
                <w:rFonts w:hint="eastAsia"/>
                <w:bCs/>
                <w:kern w:val="0"/>
                <w:szCs w:val="21"/>
                <w:lang w:val="en-US" w:eastAsia="zh-CN"/>
              </w:rPr>
              <w:t>应该不需要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hint="eastAsia" w:eastAsia="黑体"/>
                <w:kern w:val="0"/>
                <w:szCs w:val="21"/>
              </w:rPr>
              <w:t>9.1.5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严格按照国家法律法规和学校相关规定开展转基因、人类遗传资源的相关研究</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查看资料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 xml:space="preserve">正常 </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599" w:type="dxa"/>
            <w:tcMar>
              <w:left w:w="45" w:type="dxa"/>
              <w:right w:w="45" w:type="dxa"/>
            </w:tcMar>
            <w:vAlign w:val="center"/>
          </w:tcPr>
          <w:p>
            <w:pPr>
              <w:widowControl/>
              <w:spacing w:line="300" w:lineRule="exact"/>
              <w:jc w:val="center"/>
              <w:rPr>
                <w:rFonts w:hint="eastAsia" w:eastAsia="宋体"/>
                <w:b/>
                <w:bCs/>
                <w:kern w:val="0"/>
                <w:szCs w:val="21"/>
                <w:lang w:val="en-US"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BSL-2/ABSL-2及以上安全等级实验室须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599" w:type="dxa"/>
            <w:tcMar>
              <w:left w:w="45" w:type="dxa"/>
              <w:right w:w="45" w:type="dxa"/>
            </w:tcMar>
            <w:vAlign w:val="center"/>
          </w:tcPr>
          <w:p>
            <w:pPr>
              <w:widowControl/>
              <w:spacing w:line="300" w:lineRule="exact"/>
              <w:jc w:val="center"/>
              <w:rPr>
                <w:rFonts w:hint="eastAsia" w:eastAsia="宋体"/>
                <w:b/>
                <w:bCs/>
                <w:kern w:val="0"/>
                <w:szCs w:val="21"/>
                <w:lang w:val="en-US"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rFonts w:hint="eastAsia" w:eastAsia="宋体"/>
                <w:b/>
                <w:bCs/>
                <w:kern w:val="0"/>
                <w:szCs w:val="21"/>
                <w:lang w:val="en-US" w:eastAsia="zh-CN"/>
              </w:rPr>
            </w:pPr>
            <w:r>
              <w:rPr>
                <w:rFonts w:hint="eastAsia"/>
                <w:b/>
                <w:bCs/>
                <w:kern w:val="0"/>
                <w:szCs w:val="21"/>
                <w:lang w:val="en-US" w:eastAsia="zh-CN"/>
              </w:rPr>
              <w:t>无此类</w:t>
            </w:r>
            <w:r>
              <w:rPr>
                <w:kern w:val="0"/>
                <w:szCs w:val="21"/>
              </w:rPr>
              <w:t>等级实验室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rFonts w:hint="eastAsia" w:eastAsia="宋体"/>
                <w:b/>
                <w:bCs/>
                <w:kern w:val="0"/>
                <w:szCs w:val="21"/>
                <w:lang w:val="en-US"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rFonts w:hint="eastAsia" w:eastAsia="宋体"/>
                <w:b/>
                <w:bCs/>
                <w:kern w:val="0"/>
                <w:szCs w:val="21"/>
                <w:lang w:val="en-US" w:eastAsia="zh-CN"/>
              </w:rPr>
            </w:pPr>
            <w:r>
              <w:rPr>
                <w:rFonts w:hint="eastAsia"/>
                <w:b/>
                <w:bCs/>
                <w:kern w:val="0"/>
                <w:szCs w:val="21"/>
                <w:lang w:val="en-US" w:eastAsia="zh-CN"/>
              </w:rPr>
              <w:t>无此类</w:t>
            </w:r>
            <w:r>
              <w:rPr>
                <w:kern w:val="0"/>
                <w:szCs w:val="21"/>
              </w:rPr>
              <w:t>等级实验室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rFonts w:hint="eastAsia" w:eastAsia="宋体"/>
                <w:b/>
                <w:bCs/>
                <w:kern w:val="0"/>
                <w:szCs w:val="21"/>
                <w:lang w:val="en-US" w:eastAsia="zh-CN"/>
              </w:rPr>
            </w:pPr>
            <w:r>
              <w:rPr>
                <w:rFonts w:hint="eastAsia"/>
                <w:b/>
                <w:bCs/>
                <w:kern w:val="0"/>
                <w:szCs w:val="21"/>
                <w:lang w:val="en-US" w:eastAsia="zh-CN"/>
              </w:rPr>
              <w:t>无此类</w:t>
            </w:r>
            <w:r>
              <w:rPr>
                <w:kern w:val="0"/>
                <w:szCs w:val="21"/>
              </w:rPr>
              <w:t>等级实验室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r>
              <w:rPr>
                <w:rFonts w:hint="eastAsia"/>
                <w:b/>
                <w:bCs/>
                <w:kern w:val="0"/>
                <w:szCs w:val="21"/>
                <w:lang w:val="en-US" w:eastAsia="zh-CN"/>
              </w:rPr>
              <w:t>无此类</w:t>
            </w:r>
            <w:r>
              <w:rPr>
                <w:kern w:val="0"/>
                <w:szCs w:val="21"/>
              </w:rPr>
              <w:t>等级实验室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三级/四级实验室配备应急供电及应急淋浴设施</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r>
              <w:rPr>
                <w:rFonts w:hint="eastAsia"/>
                <w:b/>
                <w:bCs/>
                <w:kern w:val="0"/>
                <w:szCs w:val="21"/>
                <w:lang w:val="en-US" w:eastAsia="zh-CN"/>
              </w:rPr>
              <w:t>无此类</w:t>
            </w:r>
            <w:r>
              <w:rPr>
                <w:kern w:val="0"/>
                <w:szCs w:val="21"/>
              </w:rPr>
              <w:t>等级实验室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r>
              <w:rPr>
                <w:rFonts w:hint="eastAsia"/>
                <w:b/>
                <w:bCs/>
                <w:kern w:val="0"/>
                <w:szCs w:val="21"/>
                <w:lang w:val="en-US" w:eastAsia="zh-CN"/>
              </w:rPr>
              <w:t>无此类</w:t>
            </w:r>
            <w:r>
              <w:rPr>
                <w:kern w:val="0"/>
                <w:szCs w:val="21"/>
              </w:rPr>
              <w:t>等级实验室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9.2.8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b/>
                <w:bCs/>
                <w:kern w:val="0"/>
                <w:szCs w:val="21"/>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r>
              <w:rPr>
                <w:rFonts w:hint="eastAsia"/>
                <w:b/>
                <w:bCs/>
                <w:kern w:val="0"/>
                <w:szCs w:val="21"/>
                <w:lang w:val="en-US" w:eastAsia="zh-CN"/>
              </w:rPr>
              <w:t>无此类</w:t>
            </w:r>
            <w:r>
              <w:rPr>
                <w:kern w:val="0"/>
                <w:szCs w:val="21"/>
              </w:rPr>
              <w:t>等级实验室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9.3</w:t>
            </w:r>
          </w:p>
        </w:tc>
        <w:tc>
          <w:tcPr>
            <w:tcW w:w="13524"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9.5</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9.6</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证书</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9.6.3</w:t>
            </w:r>
          </w:p>
        </w:tc>
        <w:tc>
          <w:tcPr>
            <w:tcW w:w="5810" w:type="dxa"/>
            <w:shd w:val="clear" w:color="auto" w:fill="auto"/>
            <w:tcMar>
              <w:left w:w="45" w:type="dxa"/>
              <w:right w:w="45" w:type="dxa"/>
            </w:tcMar>
            <w:vAlign w:val="center"/>
          </w:tcPr>
          <w:p>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9.6.4</w:t>
            </w:r>
          </w:p>
        </w:tc>
        <w:tc>
          <w:tcPr>
            <w:tcW w:w="5810" w:type="dxa"/>
            <w:shd w:val="clear" w:color="auto" w:fill="auto"/>
            <w:tcMar>
              <w:left w:w="45" w:type="dxa"/>
              <w:right w:w="45" w:type="dxa"/>
            </w:tcMar>
            <w:vAlign w:val="center"/>
          </w:tcPr>
          <w:p>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9.6.6</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文件</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9.7</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辐射安全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实验室资质与人员要求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10.1.1</w:t>
            </w:r>
          </w:p>
        </w:tc>
        <w:tc>
          <w:tcPr>
            <w:tcW w:w="5810" w:type="dxa"/>
            <w:shd w:val="clear" w:color="auto" w:fill="auto"/>
            <w:tcMar>
              <w:left w:w="45" w:type="dxa"/>
              <w:right w:w="45" w:type="dxa"/>
            </w:tcMar>
            <w:vAlign w:val="center"/>
          </w:tcPr>
          <w:p>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取得“辐射安全许可证”，并按规定在放射性核素种类和用量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10.1.2</w:t>
            </w:r>
          </w:p>
        </w:tc>
        <w:tc>
          <w:tcPr>
            <w:tcW w:w="5810" w:type="dxa"/>
            <w:shd w:val="clear" w:color="auto" w:fill="auto"/>
            <w:tcMar>
              <w:left w:w="45" w:type="dxa"/>
              <w:right w:w="45" w:type="dxa"/>
            </w:tcMar>
            <w:vAlign w:val="center"/>
          </w:tcPr>
          <w:p>
            <w:pPr>
              <w:widowControl/>
              <w:spacing w:line="300" w:lineRule="exact"/>
              <w:rPr>
                <w:bCs/>
                <w:kern w:val="0"/>
                <w:szCs w:val="21"/>
              </w:rPr>
            </w:pPr>
            <w:r>
              <w:rPr>
                <w:rFonts w:hint="eastAsia"/>
                <w:bCs/>
                <w:kern w:val="0"/>
                <w:szCs w:val="21"/>
              </w:rPr>
              <w:t>X射线类</w:t>
            </w:r>
            <w:r>
              <w:rPr>
                <w:bCs/>
                <w:kern w:val="0"/>
                <w:szCs w:val="21"/>
              </w:rPr>
              <w:t>衍射仪</w:t>
            </w:r>
            <w:r>
              <w:rPr>
                <w:rFonts w:hint="eastAsia"/>
                <w:bCs/>
                <w:kern w:val="0"/>
                <w:szCs w:val="21"/>
              </w:rPr>
              <w:t>等3类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（4年</w:t>
            </w:r>
            <w:r>
              <w:rPr>
                <w:kern w:val="0"/>
                <w:szCs w:val="21"/>
              </w:rPr>
              <w:t>复训</w:t>
            </w:r>
            <w:r>
              <w:rPr>
                <w:rFonts w:hint="eastAsia"/>
                <w:kern w:val="0"/>
                <w:szCs w:val="21"/>
              </w:rPr>
              <w:t>1次）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查看培训证书</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10.1.4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体检报告</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10.1.5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有资质单位按时进行剂量检测（3个月一次），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实验场所（放射性物质、X射线装置）有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有准确的台帐</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10.2.6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采购、转让转移与运输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10.3.1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10.3.2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10.3.3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台账</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放射性实验安全操作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10.4.1</w:t>
            </w:r>
          </w:p>
        </w:tc>
        <w:tc>
          <w:tcPr>
            <w:tcW w:w="5810" w:type="dxa"/>
            <w:shd w:val="clear" w:color="auto" w:fill="auto"/>
            <w:tcMar>
              <w:left w:w="45" w:type="dxa"/>
              <w:right w:w="45" w:type="dxa"/>
            </w:tcMar>
            <w:vAlign w:val="center"/>
          </w:tcPr>
          <w:p>
            <w:pPr>
              <w:widowControl/>
              <w:spacing w:line="300" w:lineRule="exact"/>
              <w:jc w:val="left"/>
              <w:rPr>
                <w:rFonts w:hint="eastAsia" w:eastAsia="宋体"/>
                <w:kern w:val="0"/>
                <w:szCs w:val="21"/>
                <w:lang w:eastAsia="zh-CN"/>
              </w:rPr>
            </w:pPr>
            <w:r>
              <w:rPr>
                <w:kern w:val="0"/>
                <w:szCs w:val="21"/>
              </w:rPr>
              <w:t>Г辐照装置有符合国家相关规定的操作规程、安保方案及应急预案，并遵照执行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10.4.2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10.4.3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10.4.4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10.4.5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5类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10.5</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10.5.1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10.5.2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10.5.3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短半衰期核素固液废弃物放置10个半衰期经检测达标后作为普通废物处理，并有处置记录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10.5.4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pPr>
              <w:widowControl/>
              <w:spacing w:line="300" w:lineRule="exact"/>
              <w:jc w:val="center"/>
              <w:rPr>
                <w:rFonts w:hint="eastAsia" w:eastAsia="宋体"/>
                <w:bCs/>
                <w:kern w:val="0"/>
                <w:szCs w:val="21"/>
                <w:lang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查看电子或纸质台帐</w:t>
            </w:r>
          </w:p>
        </w:tc>
        <w:tc>
          <w:tcPr>
            <w:tcW w:w="599" w:type="dxa"/>
            <w:tcMar>
              <w:left w:w="45" w:type="dxa"/>
              <w:right w:w="45" w:type="dxa"/>
            </w:tcMar>
            <w:vAlign w:val="center"/>
          </w:tcPr>
          <w:p>
            <w:pPr>
              <w:widowControl/>
              <w:spacing w:line="300" w:lineRule="exact"/>
              <w:jc w:val="center"/>
              <w:rPr>
                <w:rFonts w:hint="eastAsia" w:eastAsia="宋体"/>
                <w:b/>
                <w:bCs/>
                <w:kern w:val="0"/>
                <w:szCs w:val="21"/>
                <w:lang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r>
              <w:rPr>
                <w:rFonts w:hint="eastAsia"/>
                <w:kern w:val="0"/>
                <w:szCs w:val="21"/>
              </w:rPr>
              <w:t>设备</w:t>
            </w:r>
            <w:r>
              <w:rPr>
                <w:kern w:val="0"/>
                <w:szCs w:val="21"/>
              </w:rPr>
              <w:t>上有</w:t>
            </w:r>
            <w:r>
              <w:rPr>
                <w:rFonts w:hint="eastAsia"/>
                <w:kern w:val="0"/>
                <w:szCs w:val="21"/>
              </w:rPr>
              <w:t>资产</w:t>
            </w:r>
            <w:r>
              <w:rPr>
                <w:kern w:val="0"/>
                <w:szCs w:val="21"/>
              </w:rPr>
              <w:t>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查看电源配电箱、地线</w:t>
            </w:r>
          </w:p>
        </w:tc>
        <w:tc>
          <w:tcPr>
            <w:tcW w:w="599" w:type="dxa"/>
            <w:tcMar>
              <w:left w:w="45" w:type="dxa"/>
              <w:right w:w="45" w:type="dxa"/>
            </w:tcMar>
            <w:vAlign w:val="center"/>
          </w:tcPr>
          <w:p>
            <w:pPr>
              <w:widowControl/>
              <w:spacing w:line="300" w:lineRule="exact"/>
              <w:jc w:val="center"/>
              <w:rPr>
                <w:rFonts w:hint="eastAsia" w:eastAsia="宋体"/>
                <w:b/>
                <w:bCs/>
                <w:kern w:val="0"/>
                <w:szCs w:val="21"/>
                <w:lang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11.1.3</w:t>
            </w:r>
          </w:p>
        </w:tc>
        <w:tc>
          <w:tcPr>
            <w:tcW w:w="5810" w:type="dxa"/>
            <w:shd w:val="clear" w:color="auto" w:fill="auto"/>
            <w:tcMar>
              <w:left w:w="45" w:type="dxa"/>
              <w:right w:w="45" w:type="dxa"/>
            </w:tcMar>
            <w:vAlign w:val="center"/>
          </w:tcPr>
          <w:p>
            <w:pPr>
              <w:spacing w:line="300" w:lineRule="exact"/>
              <w:rPr>
                <w:szCs w:val="21"/>
              </w:rPr>
            </w:pPr>
            <w:r>
              <w:rPr>
                <w:rFonts w:hint="eastAsia"/>
                <w:szCs w:val="21"/>
              </w:rPr>
              <w:t>仪器设备接地系统应按规范要求，采用铜质材料，且设计寿命不应低于50年</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szCs w:val="21"/>
              </w:rPr>
              <w:t>接地电阻不高于0.5欧</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11.1.4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查看记录及维修、维护周期</w:t>
            </w:r>
          </w:p>
        </w:tc>
        <w:tc>
          <w:tcPr>
            <w:tcW w:w="599" w:type="dxa"/>
            <w:tcMar>
              <w:left w:w="45" w:type="dxa"/>
              <w:right w:w="45" w:type="dxa"/>
            </w:tcMar>
            <w:vAlign w:val="center"/>
          </w:tcPr>
          <w:p>
            <w:pPr>
              <w:widowControl/>
              <w:spacing w:line="300" w:lineRule="exact"/>
              <w:jc w:val="center"/>
              <w:rPr>
                <w:rFonts w:hint="eastAsia" w:eastAsia="宋体"/>
                <w:b/>
                <w:bCs/>
                <w:kern w:val="0"/>
                <w:szCs w:val="21"/>
                <w:lang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rFonts w:hint="default" w:eastAsia="宋体"/>
                <w:b/>
                <w:bCs/>
                <w:kern w:val="0"/>
                <w:szCs w:val="21"/>
                <w:lang w:val="en-US" w:eastAsia="zh-CN"/>
              </w:rPr>
            </w:pPr>
            <w:r>
              <w:rPr>
                <w:rFonts w:hint="eastAsia"/>
                <w:b/>
                <w:bCs/>
                <w:kern w:val="0"/>
                <w:szCs w:val="21"/>
                <w:lang w:val="en-US" w:eastAsia="zh-CN"/>
              </w:rPr>
              <w:t>应该有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11.1.5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检查相关规定</w:t>
            </w:r>
          </w:p>
        </w:tc>
        <w:tc>
          <w:tcPr>
            <w:tcW w:w="599" w:type="dxa"/>
            <w:tcMar>
              <w:left w:w="45" w:type="dxa"/>
              <w:right w:w="45" w:type="dxa"/>
            </w:tcMar>
            <w:vAlign w:val="center"/>
          </w:tcPr>
          <w:p>
            <w:pPr>
              <w:widowControl/>
              <w:spacing w:line="300" w:lineRule="exact"/>
              <w:jc w:val="center"/>
              <w:rPr>
                <w:rFonts w:hint="eastAsia" w:eastAsia="宋体"/>
                <w:b/>
                <w:bCs/>
                <w:kern w:val="0"/>
                <w:szCs w:val="21"/>
                <w:lang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11.1.6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有手册或规范明示牌</w:t>
            </w:r>
          </w:p>
        </w:tc>
        <w:tc>
          <w:tcPr>
            <w:tcW w:w="599" w:type="dxa"/>
            <w:tcMar>
              <w:left w:w="45" w:type="dxa"/>
              <w:right w:w="45" w:type="dxa"/>
            </w:tcMar>
            <w:vAlign w:val="center"/>
          </w:tcPr>
          <w:p>
            <w:pPr>
              <w:widowControl/>
              <w:spacing w:line="300" w:lineRule="exact"/>
              <w:jc w:val="center"/>
              <w:rPr>
                <w:rFonts w:hint="eastAsia" w:eastAsia="宋体"/>
                <w:b/>
                <w:bCs/>
                <w:kern w:val="0"/>
                <w:szCs w:val="21"/>
                <w:lang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昼夜工作的设备要有实时监控设施</w:t>
            </w:r>
          </w:p>
        </w:tc>
        <w:tc>
          <w:tcPr>
            <w:tcW w:w="599" w:type="dxa"/>
            <w:tcMar>
              <w:left w:w="45" w:type="dxa"/>
              <w:right w:w="45" w:type="dxa"/>
            </w:tcMar>
            <w:vAlign w:val="center"/>
          </w:tcPr>
          <w:p>
            <w:pPr>
              <w:widowControl/>
              <w:spacing w:line="300" w:lineRule="exact"/>
              <w:jc w:val="center"/>
              <w:rPr>
                <w:rFonts w:hint="eastAsia" w:eastAsia="宋体"/>
                <w:b/>
                <w:bCs/>
                <w:kern w:val="0"/>
                <w:szCs w:val="21"/>
                <w:lang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599" w:type="dxa"/>
            <w:tcMar>
              <w:left w:w="45" w:type="dxa"/>
              <w:right w:w="45" w:type="dxa"/>
            </w:tcMar>
            <w:vAlign w:val="center"/>
          </w:tcPr>
          <w:p>
            <w:pPr>
              <w:widowControl/>
              <w:spacing w:line="300" w:lineRule="exact"/>
              <w:jc w:val="center"/>
              <w:rPr>
                <w:rFonts w:hint="eastAsia" w:eastAsia="宋体"/>
                <w:b/>
                <w:bCs/>
                <w:kern w:val="0"/>
                <w:szCs w:val="21"/>
                <w:lang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11.1.9</w:t>
            </w:r>
          </w:p>
        </w:tc>
        <w:tc>
          <w:tcPr>
            <w:tcW w:w="5810" w:type="dxa"/>
            <w:shd w:val="clear" w:color="auto" w:fill="auto"/>
            <w:tcMar>
              <w:left w:w="45" w:type="dxa"/>
              <w:right w:w="45" w:type="dxa"/>
            </w:tcMar>
            <w:vAlign w:val="center"/>
          </w:tcPr>
          <w:p>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检查是否有安全空间</w:t>
            </w:r>
          </w:p>
        </w:tc>
        <w:tc>
          <w:tcPr>
            <w:tcW w:w="599" w:type="dxa"/>
            <w:tcMar>
              <w:left w:w="45" w:type="dxa"/>
              <w:right w:w="45" w:type="dxa"/>
            </w:tcMar>
            <w:vAlign w:val="center"/>
          </w:tcPr>
          <w:p>
            <w:pPr>
              <w:widowControl/>
              <w:spacing w:line="300" w:lineRule="exact"/>
              <w:jc w:val="center"/>
              <w:rPr>
                <w:rFonts w:hint="eastAsia" w:eastAsia="宋体"/>
                <w:b/>
                <w:bCs/>
                <w:kern w:val="0"/>
                <w:szCs w:val="21"/>
                <w:lang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11.1.10</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检查避光、遮光</w:t>
            </w:r>
          </w:p>
        </w:tc>
        <w:tc>
          <w:tcPr>
            <w:tcW w:w="599" w:type="dxa"/>
            <w:tcMar>
              <w:left w:w="45" w:type="dxa"/>
              <w:right w:w="45" w:type="dxa"/>
            </w:tcMar>
            <w:vAlign w:val="center"/>
          </w:tcPr>
          <w:p>
            <w:pPr>
              <w:widowControl/>
              <w:spacing w:line="300" w:lineRule="exact"/>
              <w:jc w:val="center"/>
              <w:rPr>
                <w:rFonts w:hint="eastAsia" w:eastAsia="宋体"/>
                <w:b/>
                <w:bCs/>
                <w:kern w:val="0"/>
                <w:szCs w:val="21"/>
                <w:lang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11.1.11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查看现场、资料</w:t>
            </w:r>
          </w:p>
        </w:tc>
        <w:tc>
          <w:tcPr>
            <w:tcW w:w="599" w:type="dxa"/>
            <w:tcMar>
              <w:left w:w="45" w:type="dxa"/>
              <w:right w:w="45" w:type="dxa"/>
            </w:tcMar>
            <w:vAlign w:val="center"/>
          </w:tcPr>
          <w:p>
            <w:pPr>
              <w:widowControl/>
              <w:spacing w:line="300" w:lineRule="exact"/>
              <w:jc w:val="center"/>
              <w:rPr>
                <w:rFonts w:hint="eastAsia" w:eastAsia="宋体"/>
                <w:b/>
                <w:bCs/>
                <w:kern w:val="0"/>
                <w:szCs w:val="21"/>
                <w:lang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11.2</w:t>
            </w:r>
          </w:p>
        </w:tc>
        <w:tc>
          <w:tcPr>
            <w:tcW w:w="13524"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11.3</w:t>
            </w:r>
          </w:p>
        </w:tc>
        <w:tc>
          <w:tcPr>
            <w:tcW w:w="13524"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11.3.1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 xml:space="preserve">电气设备所用的保险丝(管)的额定电流应与其负荷容量相适应，无用其它金属线代替保险丝(片)现象 </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检查设备及要求</w:t>
            </w:r>
          </w:p>
        </w:tc>
        <w:tc>
          <w:tcPr>
            <w:tcW w:w="599" w:type="dxa"/>
            <w:tcMar>
              <w:left w:w="45" w:type="dxa"/>
              <w:right w:w="45" w:type="dxa"/>
            </w:tcMar>
            <w:vAlign w:val="center"/>
          </w:tcPr>
          <w:p>
            <w:pPr>
              <w:widowControl/>
              <w:spacing w:line="300" w:lineRule="exact"/>
              <w:jc w:val="center"/>
              <w:rPr>
                <w:rFonts w:hint="eastAsia" w:eastAsia="宋体"/>
                <w:b/>
                <w:bCs/>
                <w:kern w:val="0"/>
                <w:szCs w:val="21"/>
                <w:lang w:val="en-US"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11.3.2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检查室内机及设备配电</w:t>
            </w:r>
          </w:p>
        </w:tc>
        <w:tc>
          <w:tcPr>
            <w:tcW w:w="599" w:type="dxa"/>
            <w:tcMar>
              <w:left w:w="45" w:type="dxa"/>
              <w:right w:w="45" w:type="dxa"/>
            </w:tcMar>
            <w:vAlign w:val="center"/>
          </w:tcPr>
          <w:p>
            <w:pPr>
              <w:widowControl/>
              <w:spacing w:line="300" w:lineRule="exact"/>
              <w:jc w:val="center"/>
              <w:rPr>
                <w:rFonts w:hint="eastAsia" w:eastAsia="宋体"/>
                <w:b/>
                <w:bCs/>
                <w:kern w:val="0"/>
                <w:szCs w:val="21"/>
                <w:lang w:val="en-US"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黑体"/>
                <w:szCs w:val="21"/>
              </w:rPr>
            </w:pPr>
            <w:r>
              <w:rPr>
                <w:rFonts w:eastAsia="黑体"/>
                <w:kern w:val="0"/>
                <w:szCs w:val="21"/>
              </w:rPr>
              <w:t>11.3.8</w:t>
            </w:r>
          </w:p>
        </w:tc>
        <w:tc>
          <w:tcPr>
            <w:tcW w:w="5810" w:type="dxa"/>
            <w:shd w:val="clear" w:color="auto" w:fill="auto"/>
            <w:tcMar>
              <w:left w:w="45" w:type="dxa"/>
              <w:right w:w="45" w:type="dxa"/>
            </w:tcMar>
            <w:vAlign w:val="center"/>
          </w:tcPr>
          <w:p>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检查护具及提示</w:t>
            </w:r>
          </w:p>
        </w:tc>
        <w:tc>
          <w:tcPr>
            <w:tcW w:w="599" w:type="dxa"/>
            <w:tcMar>
              <w:left w:w="45" w:type="dxa"/>
              <w:right w:w="45" w:type="dxa"/>
            </w:tcMar>
            <w:vAlign w:val="center"/>
          </w:tcPr>
          <w:p>
            <w:pPr>
              <w:widowControl/>
              <w:spacing w:line="300" w:lineRule="exact"/>
              <w:jc w:val="center"/>
              <w:rPr>
                <w:rFonts w:hint="eastAsia" w:eastAsia="宋体"/>
                <w:b/>
                <w:bCs/>
                <w:kern w:val="0"/>
                <w:szCs w:val="21"/>
                <w:lang w:eastAsia="zh-CN"/>
              </w:rPr>
            </w:pPr>
          </w:p>
        </w:tc>
        <w:tc>
          <w:tcPr>
            <w:tcW w:w="853" w:type="dxa"/>
            <w:vAlign w:val="center"/>
          </w:tcPr>
          <w:p>
            <w:pPr>
              <w:widowControl/>
              <w:spacing w:line="300" w:lineRule="exact"/>
              <w:jc w:val="center"/>
              <w:rPr>
                <w:b/>
                <w:bCs/>
                <w:kern w:val="0"/>
                <w:szCs w:val="21"/>
              </w:rPr>
            </w:pPr>
          </w:p>
        </w:tc>
        <w:tc>
          <w:tcPr>
            <w:tcW w:w="882" w:type="dxa"/>
            <w:vAlign w:val="center"/>
          </w:tcPr>
          <w:p>
            <w:pPr>
              <w:widowControl/>
              <w:spacing w:line="300" w:lineRule="exact"/>
              <w:jc w:val="center"/>
              <w:rPr>
                <w:b/>
                <w:bCs/>
                <w:kern w:val="0"/>
                <w:szCs w:val="21"/>
              </w:rPr>
            </w:pPr>
          </w:p>
        </w:tc>
        <w:tc>
          <w:tcPr>
            <w:tcW w:w="2120" w:type="dxa"/>
            <w:vAlign w:val="center"/>
          </w:tcPr>
          <w:p>
            <w:pPr>
              <w:widowControl/>
              <w:spacing w:line="300" w:lineRule="exact"/>
              <w:jc w:val="center"/>
              <w:rPr>
                <w:rFonts w:hint="default" w:eastAsia="宋体"/>
                <w:b/>
                <w:bCs/>
                <w:kern w:val="0"/>
                <w:szCs w:val="21"/>
                <w:lang w:val="en-US" w:eastAsia="zh-CN"/>
              </w:rPr>
            </w:pPr>
            <w:r>
              <w:rPr>
                <w:rFonts w:hint="eastAsia"/>
                <w:szCs w:val="21"/>
              </w:rPr>
              <w:t>静电</w:t>
            </w:r>
            <w:r>
              <w:rPr>
                <w:rFonts w:hint="eastAsia"/>
                <w:szCs w:val="21"/>
                <w:lang w:val="en-US" w:eastAsia="zh-CN"/>
              </w:rPr>
              <w: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11.4</w:t>
            </w:r>
          </w:p>
        </w:tc>
        <w:tc>
          <w:tcPr>
            <w:tcW w:w="13524"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11.5</w:t>
            </w:r>
          </w:p>
        </w:tc>
        <w:tc>
          <w:tcPr>
            <w:tcW w:w="13524"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12.1</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12.2</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设备铭牌上标明为简单压力容器不需办理</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r>
              <w:rPr>
                <w:rFonts w:hint="eastAsia"/>
                <w:kern w:val="0"/>
                <w:szCs w:val="21"/>
              </w:rPr>
              <w:t>简单压力容器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查看资料</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原则上不超期使用。对于已达设计使用年限，或未规定使用年限但已超过20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新的证书</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12.2.6</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有隔离装置，坚固牢靠</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12.2.7</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可燃性</w:t>
            </w:r>
            <w:r>
              <w:rPr>
                <w:kern w:val="0"/>
                <w:szCs w:val="21"/>
              </w:rPr>
              <w:t>气罐远离火源热源</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12.2.8</w:t>
            </w:r>
          </w:p>
        </w:tc>
        <w:tc>
          <w:tcPr>
            <w:tcW w:w="581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电气设施是否防爆，避雷装置是否接地</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12.2.9</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12.2.10</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 xml:space="preserve">实行使用登记制度，及时填写“使用登记表” </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使用登记表内容完整</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12.2.11</w:t>
            </w:r>
          </w:p>
        </w:tc>
        <w:tc>
          <w:tcPr>
            <w:tcW w:w="5810" w:type="dxa"/>
            <w:shd w:val="clear" w:color="auto" w:fill="auto"/>
            <w:tcMar>
              <w:left w:w="45" w:type="dxa"/>
              <w:right w:w="45" w:type="dxa"/>
            </w:tcMar>
            <w:vAlign w:val="center"/>
          </w:tcPr>
          <w:p>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有检查表记录</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12.3</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12.4</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冰箱管理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查看冰箱及</w:t>
            </w:r>
            <w:r>
              <w:rPr>
                <w:kern w:val="0"/>
                <w:szCs w:val="21"/>
              </w:rPr>
              <w:t>清理记录</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螺口拧紧，无开口容器</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超期服役（一般使用期限控制为10年）</w:t>
            </w:r>
            <w:r>
              <w:rPr>
                <w:rFonts w:hint="eastAsia"/>
                <w:kern w:val="0"/>
                <w:szCs w:val="21"/>
              </w:rPr>
              <w:t>，</w:t>
            </w:r>
            <w:r>
              <w:rPr>
                <w:color w:val="0000FF"/>
                <w:kern w:val="0"/>
                <w:szCs w:val="21"/>
              </w:rPr>
              <w:t>如超期</w:t>
            </w:r>
            <w:r>
              <w:rPr>
                <w:rFonts w:hint="eastAsia"/>
                <w:color w:val="0000FF"/>
                <w:kern w:val="0"/>
                <w:szCs w:val="21"/>
              </w:rPr>
              <w:t>使用</w:t>
            </w:r>
            <w:r>
              <w:rPr>
                <w:color w:val="0000FF"/>
                <w:kern w:val="0"/>
                <w:szCs w:val="21"/>
              </w:rPr>
              <w:t>需</w:t>
            </w:r>
            <w:r>
              <w:rPr>
                <w:rFonts w:hint="eastAsia"/>
                <w:color w:val="0000FF"/>
                <w:kern w:val="0"/>
                <w:szCs w:val="21"/>
              </w:rPr>
              <w:t>经</w:t>
            </w:r>
            <w:r>
              <w:rPr>
                <w:color w:val="0000FF"/>
                <w:kern w:val="0"/>
                <w:szCs w:val="21"/>
              </w:rPr>
              <w:t>审批</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599" w:type="dxa"/>
            <w:tcMar>
              <w:left w:w="45" w:type="dxa"/>
              <w:right w:w="45" w:type="dxa"/>
            </w:tcMar>
            <w:vAlign w:val="center"/>
          </w:tcPr>
          <w:p>
            <w:pPr>
              <w:widowControl/>
              <w:spacing w:line="300" w:lineRule="exact"/>
              <w:jc w:val="center"/>
              <w:rPr>
                <w:bCs/>
                <w:kern w:val="0"/>
                <w:szCs w:val="21"/>
              </w:rPr>
            </w:pPr>
          </w:p>
        </w:tc>
        <w:tc>
          <w:tcPr>
            <w:tcW w:w="853" w:type="dxa"/>
            <w:vAlign w:val="center"/>
          </w:tcPr>
          <w:p>
            <w:pPr>
              <w:widowControl/>
              <w:spacing w:line="300" w:lineRule="exact"/>
              <w:jc w:val="center"/>
              <w:rPr>
                <w:rFonts w:hint="default" w:eastAsia="宋体"/>
                <w:bCs/>
                <w:kern w:val="0"/>
                <w:szCs w:val="21"/>
                <w:lang w:val="en-US" w:eastAsia="zh-CN"/>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rFonts w:hint="eastAsia" w:eastAsia="宋体"/>
                <w:bCs/>
                <w:kern w:val="0"/>
                <w:szCs w:val="21"/>
                <w:lang w:val="en-US" w:eastAsia="zh-CN"/>
              </w:rPr>
            </w:pPr>
            <w:r>
              <w:rPr>
                <w:rFonts w:hint="eastAsia"/>
                <w:color w:val="0000FF"/>
                <w:kern w:val="0"/>
                <w:szCs w:val="21"/>
                <w:lang w:val="en-US" w:eastAsia="zh-CN"/>
              </w:rPr>
              <w:t>有</w:t>
            </w:r>
            <w:r>
              <w:rPr>
                <w:color w:val="0000FF"/>
                <w:kern w:val="0"/>
                <w:szCs w:val="21"/>
              </w:rPr>
              <w:t>超期</w:t>
            </w:r>
            <w:r>
              <w:rPr>
                <w:rFonts w:hint="eastAsia"/>
                <w:color w:val="0000FF"/>
                <w:kern w:val="0"/>
                <w:szCs w:val="21"/>
              </w:rPr>
              <w:t>使用</w:t>
            </w:r>
            <w:r>
              <w:rPr>
                <w:rFonts w:hint="eastAsia"/>
                <w:color w:val="0000FF"/>
                <w:kern w:val="0"/>
                <w:szCs w:val="21"/>
                <w:lang w:eastAsia="zh-CN"/>
              </w:rPr>
              <w:t>，</w:t>
            </w:r>
            <w:r>
              <w:rPr>
                <w:rFonts w:hint="eastAsia"/>
                <w:color w:val="0000FF"/>
                <w:kern w:val="0"/>
                <w:szCs w:val="21"/>
                <w:lang w:val="en-US" w:eastAsia="zh-CN"/>
              </w:rPr>
              <w:t>但</w:t>
            </w:r>
            <w:r>
              <w:rPr>
                <w:color w:val="0000FF"/>
                <w:kern w:val="0"/>
                <w:szCs w:val="21"/>
              </w:rPr>
              <w:t>审批</w:t>
            </w:r>
            <w:r>
              <w:rPr>
                <w:rFonts w:hint="eastAsia"/>
                <w:color w:val="0000FF"/>
                <w:kern w:val="0"/>
                <w:szCs w:val="21"/>
                <w:lang w:val="en-US" w:eastAsia="zh-CN"/>
              </w:rPr>
              <w:t>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出10cm</w:t>
            </w:r>
            <w:r>
              <w:rPr>
                <w:rFonts w:hint="eastAsia"/>
                <w:kern w:val="0"/>
                <w:szCs w:val="21"/>
              </w:rPr>
              <w:t>，</w:t>
            </w:r>
            <w:r>
              <w:rPr>
                <w:kern w:val="0"/>
                <w:szCs w:val="21"/>
              </w:rPr>
              <w:t>上部最少30cm的距离</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12.4.6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实验区和办公生活区严格区分</w:t>
            </w:r>
          </w:p>
        </w:tc>
        <w:tc>
          <w:tcPr>
            <w:tcW w:w="599" w:type="dxa"/>
            <w:tcMar>
              <w:left w:w="45" w:type="dxa"/>
              <w:right w:w="45" w:type="dxa"/>
            </w:tcMar>
            <w:vAlign w:val="center"/>
          </w:tcPr>
          <w:p>
            <w:pPr>
              <w:widowControl/>
              <w:spacing w:line="300" w:lineRule="exact"/>
              <w:jc w:val="center"/>
              <w:rPr>
                <w:rFonts w:hint="eastAsia" w:eastAsia="宋体"/>
                <w:bCs/>
                <w:kern w:val="0"/>
                <w:szCs w:val="21"/>
                <w:lang w:val="en-US" w:eastAsia="zh-CN"/>
              </w:rPr>
            </w:pPr>
          </w:p>
        </w:tc>
        <w:tc>
          <w:tcPr>
            <w:tcW w:w="853" w:type="dxa"/>
            <w:vAlign w:val="center"/>
          </w:tcPr>
          <w:p>
            <w:pPr>
              <w:widowControl/>
              <w:spacing w:line="300" w:lineRule="exact"/>
              <w:jc w:val="center"/>
              <w:rPr>
                <w:bCs/>
                <w:kern w:val="0"/>
                <w:szCs w:val="21"/>
              </w:rPr>
            </w:pPr>
          </w:p>
        </w:tc>
        <w:tc>
          <w:tcPr>
            <w:tcW w:w="882" w:type="dxa"/>
            <w:vAlign w:val="center"/>
          </w:tcPr>
          <w:p>
            <w:pPr>
              <w:widowControl/>
              <w:spacing w:line="300" w:lineRule="exact"/>
              <w:jc w:val="center"/>
              <w:rPr>
                <w:bCs/>
                <w:kern w:val="0"/>
                <w:szCs w:val="21"/>
              </w:rPr>
            </w:pPr>
          </w:p>
        </w:tc>
        <w:tc>
          <w:tcPr>
            <w:tcW w:w="212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12.5</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烘箱与电阻炉管理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超期服役（一般使用期限控制为12年）</w:t>
            </w:r>
            <w:r>
              <w:rPr>
                <w:rFonts w:hint="eastAsia"/>
                <w:kern w:val="0"/>
                <w:szCs w:val="21"/>
              </w:rPr>
              <w:t>，</w:t>
            </w:r>
            <w:r>
              <w:rPr>
                <w:color w:val="0000FF"/>
                <w:kern w:val="0"/>
                <w:szCs w:val="21"/>
              </w:rPr>
              <w:t>如超期</w:t>
            </w:r>
            <w:r>
              <w:rPr>
                <w:rFonts w:hint="eastAsia"/>
                <w:color w:val="0000FF"/>
                <w:kern w:val="0"/>
                <w:szCs w:val="21"/>
              </w:rPr>
              <w:t>使用需经</w:t>
            </w:r>
            <w:r>
              <w:rPr>
                <w:color w:val="0000FF"/>
                <w:kern w:val="0"/>
                <w:szCs w:val="21"/>
              </w:rPr>
              <w:t>审批</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599" w:type="dxa"/>
            <w:tcMar>
              <w:left w:w="45" w:type="dxa"/>
              <w:right w:w="45" w:type="dxa"/>
            </w:tcMar>
            <w:vAlign w:val="center"/>
          </w:tcPr>
          <w:p>
            <w:pPr>
              <w:widowControl/>
              <w:spacing w:line="300" w:lineRule="exact"/>
              <w:jc w:val="center"/>
              <w:rPr>
                <w:rFonts w:hint="eastAsia" w:eastAsia="宋体"/>
                <w:kern w:val="0"/>
                <w:szCs w:val="21"/>
                <w:lang w:val="en-US"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pPr>
              <w:widowControl/>
              <w:spacing w:line="300" w:lineRule="exact"/>
              <w:jc w:val="center"/>
              <w:rPr>
                <w:rFonts w:hint="eastAsia" w:eastAsia="宋体"/>
                <w:kern w:val="0"/>
                <w:szCs w:val="21"/>
                <w:lang w:val="en-US"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599" w:type="dxa"/>
            <w:tcMar>
              <w:left w:w="45" w:type="dxa"/>
              <w:right w:w="45" w:type="dxa"/>
            </w:tcMar>
            <w:vAlign w:val="center"/>
          </w:tcPr>
          <w:p>
            <w:pPr>
              <w:widowControl/>
              <w:spacing w:line="300" w:lineRule="exact"/>
              <w:jc w:val="center"/>
              <w:rPr>
                <w:rFonts w:hint="eastAsia" w:eastAsia="宋体"/>
                <w:kern w:val="0"/>
                <w:szCs w:val="21"/>
                <w:lang w:val="en-US"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查看现场</w:t>
            </w:r>
          </w:p>
        </w:tc>
        <w:tc>
          <w:tcPr>
            <w:tcW w:w="599" w:type="dxa"/>
            <w:tcMar>
              <w:left w:w="45" w:type="dxa"/>
              <w:right w:w="45" w:type="dxa"/>
            </w:tcMar>
            <w:vAlign w:val="center"/>
          </w:tcPr>
          <w:p>
            <w:pPr>
              <w:widowControl/>
              <w:spacing w:line="300" w:lineRule="exact"/>
              <w:jc w:val="center"/>
              <w:rPr>
                <w:rFonts w:hint="eastAsia" w:eastAsia="宋体"/>
                <w:kern w:val="0"/>
                <w:szCs w:val="21"/>
                <w:lang w:val="en-US"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张贴有安全操作规程、警示标识</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rFonts w:hint="default" w:eastAsia="宋体"/>
                <w:kern w:val="0"/>
                <w:szCs w:val="21"/>
                <w:lang w:val="en-US" w:eastAsia="zh-CN"/>
              </w:rPr>
            </w:pPr>
            <w:r>
              <w:rPr>
                <w:rFonts w:hint="eastAsia"/>
                <w:kern w:val="0"/>
                <w:szCs w:val="21"/>
              </w:rPr>
              <w:t>操作规程</w:t>
            </w:r>
            <w:r>
              <w:rPr>
                <w:rFonts w:hint="eastAsia"/>
                <w:kern w:val="0"/>
                <w:szCs w:val="21"/>
                <w:lang w:eastAsia="zh-CN"/>
              </w:rPr>
              <w:t>？</w:t>
            </w:r>
            <w:r>
              <w:rPr>
                <w:rFonts w:hint="eastAsia"/>
                <w:kern w:val="0"/>
                <w:szCs w:val="21"/>
                <w:lang w:val="en-US" w:eastAsia="zh-CN"/>
              </w:rPr>
              <w:t>有必要吗？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使用烘箱、电阻炉等加热设备时有人值守（或10-15分钟检查一次）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rFonts w:hint="default" w:eastAsia="宋体"/>
                <w:kern w:val="0"/>
                <w:szCs w:val="21"/>
                <w:lang w:val="en-US" w:eastAsia="zh-CN"/>
              </w:rPr>
            </w:pPr>
            <w:r>
              <w:rPr>
                <w:rFonts w:hint="eastAsia"/>
                <w:kern w:val="0"/>
                <w:szCs w:val="21"/>
              </w:rPr>
              <w:t>使用记录</w:t>
            </w:r>
            <w:r>
              <w:rPr>
                <w:rFonts w:hint="eastAsia"/>
                <w:kern w:val="0"/>
                <w:szCs w:val="21"/>
                <w:lang w:val="en-US" w:eastAsia="zh-CN"/>
              </w:rPr>
              <w:t>应该没有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599" w:type="dxa"/>
            <w:tcMar>
              <w:left w:w="45" w:type="dxa"/>
              <w:right w:w="45" w:type="dxa"/>
            </w:tcMar>
            <w:vAlign w:val="center"/>
          </w:tcPr>
          <w:p>
            <w:pPr>
              <w:widowControl/>
              <w:spacing w:line="300" w:lineRule="exact"/>
              <w:jc w:val="center"/>
              <w:rPr>
                <w:rFonts w:hint="eastAsia" w:eastAsia="宋体"/>
                <w:kern w:val="0"/>
                <w:szCs w:val="21"/>
                <w:lang w:val="en-US"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rFonts w:hint="default" w:eastAsia="宋体"/>
                <w:kern w:val="0"/>
                <w:szCs w:val="21"/>
                <w:lang w:val="en-US" w:eastAsia="zh-CN"/>
              </w:rPr>
            </w:pPr>
            <w:r>
              <w:rPr>
                <w:rFonts w:hint="eastAsia"/>
                <w:kern w:val="0"/>
                <w:szCs w:val="21"/>
                <w:lang w:val="en-US" w:eastAsia="zh-CN"/>
              </w:rPr>
              <w:t>低于60</w:t>
            </w:r>
            <w:r>
              <w:rPr>
                <w:rFonts w:hint="eastAsia" w:ascii="宋体" w:hAnsi="宋体" w:eastAsia="宋体" w:cs="宋体"/>
                <w:kern w:val="0"/>
                <w:szCs w:val="21"/>
                <w:lang w:val="en-US" w:eastAsia="zh-CN"/>
              </w:rPr>
              <w:t>℃</w:t>
            </w:r>
            <w:r>
              <w:rPr>
                <w:rFonts w:hint="eastAsia"/>
                <w:kern w:val="0"/>
                <w:szCs w:val="21"/>
                <w:lang w:val="en-US" w:eastAsia="zh-CN"/>
              </w:rPr>
              <w:t>烘干移液器头应该充许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12.5.8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现场、询问师生</w:t>
            </w:r>
          </w:p>
        </w:tc>
        <w:tc>
          <w:tcPr>
            <w:tcW w:w="599" w:type="dxa"/>
            <w:tcMar>
              <w:left w:w="45" w:type="dxa"/>
              <w:right w:w="45" w:type="dxa"/>
            </w:tcMar>
            <w:vAlign w:val="center"/>
          </w:tcPr>
          <w:p>
            <w:pPr>
              <w:widowControl/>
              <w:spacing w:line="300" w:lineRule="exact"/>
              <w:jc w:val="center"/>
              <w:rPr>
                <w:rFonts w:hint="eastAsia" w:eastAsia="宋体"/>
                <w:kern w:val="0"/>
                <w:szCs w:val="21"/>
                <w:lang w:val="en-US"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b/>
                <w:kern w:val="0"/>
                <w:szCs w:val="21"/>
              </w:rPr>
            </w:pPr>
            <w:r>
              <w:rPr>
                <w:rFonts w:eastAsia="黑体"/>
                <w:b/>
                <w:kern w:val="0"/>
                <w:szCs w:val="21"/>
              </w:rPr>
              <w:t>12.6</w:t>
            </w:r>
          </w:p>
        </w:tc>
        <w:tc>
          <w:tcPr>
            <w:tcW w:w="13524"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明火电炉与电吹风等管理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12.6.1</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许可证</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rFonts w:hint="default" w:eastAsia="宋体"/>
                <w:kern w:val="0"/>
                <w:szCs w:val="21"/>
                <w:lang w:val="en-US" w:eastAsia="zh-CN"/>
              </w:rPr>
            </w:pPr>
            <w:r>
              <w:rPr>
                <w:kern w:val="0"/>
                <w:szCs w:val="21"/>
              </w:rPr>
              <w:t>许可证</w:t>
            </w:r>
            <w:r>
              <w:rPr>
                <w:rFonts w:hint="eastAsia"/>
                <w:kern w:val="0"/>
                <w:szCs w:val="21"/>
                <w:lang w:eastAsia="zh-CN"/>
              </w:rPr>
              <w:t>？</w:t>
            </w:r>
            <w:r>
              <w:rPr>
                <w:rFonts w:hint="eastAsia"/>
                <w:kern w:val="0"/>
                <w:szCs w:val="21"/>
                <w:lang w:val="en-US" w:eastAsia="zh-CN"/>
              </w:rPr>
              <w:t>燃烧生态学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12.6.2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599" w:type="dxa"/>
            <w:tcMar>
              <w:left w:w="45" w:type="dxa"/>
              <w:right w:w="45" w:type="dxa"/>
            </w:tcMar>
            <w:vAlign w:val="center"/>
          </w:tcPr>
          <w:p>
            <w:pPr>
              <w:widowControl/>
              <w:spacing w:line="300" w:lineRule="exact"/>
              <w:jc w:val="center"/>
              <w:rPr>
                <w:kern w:val="0"/>
                <w:szCs w:val="21"/>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r>
              <w:rPr>
                <w:kern w:val="0"/>
                <w:szCs w:val="21"/>
              </w:rPr>
              <w:t>许可证</w:t>
            </w:r>
            <w:r>
              <w:rPr>
                <w:rFonts w:hint="eastAsia"/>
                <w:kern w:val="0"/>
                <w:szCs w:val="21"/>
                <w:lang w:eastAsia="zh-CN"/>
              </w:rPr>
              <w:t>？</w:t>
            </w:r>
            <w:r>
              <w:rPr>
                <w:rFonts w:hint="eastAsia"/>
                <w:kern w:val="0"/>
                <w:szCs w:val="21"/>
                <w:lang w:val="en-US" w:eastAsia="zh-CN"/>
              </w:rPr>
              <w:t>燃烧生态学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12.6.3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现场、询问学生</w:t>
            </w:r>
          </w:p>
        </w:tc>
        <w:tc>
          <w:tcPr>
            <w:tcW w:w="599" w:type="dxa"/>
            <w:tcMar>
              <w:left w:w="45" w:type="dxa"/>
              <w:right w:w="45" w:type="dxa"/>
            </w:tcMar>
            <w:vAlign w:val="center"/>
          </w:tcPr>
          <w:p>
            <w:pPr>
              <w:widowControl/>
              <w:spacing w:line="300" w:lineRule="exact"/>
              <w:jc w:val="center"/>
              <w:rPr>
                <w:rFonts w:hint="eastAsia" w:eastAsia="宋体"/>
                <w:kern w:val="0"/>
                <w:szCs w:val="21"/>
                <w:lang w:val="en-US"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12.6.4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查看现场</w:t>
            </w:r>
          </w:p>
        </w:tc>
        <w:tc>
          <w:tcPr>
            <w:tcW w:w="599" w:type="dxa"/>
            <w:tcMar>
              <w:left w:w="45" w:type="dxa"/>
              <w:right w:w="45" w:type="dxa"/>
            </w:tcMar>
            <w:vAlign w:val="center"/>
          </w:tcPr>
          <w:p>
            <w:pPr>
              <w:widowControl/>
              <w:spacing w:line="300" w:lineRule="exact"/>
              <w:jc w:val="center"/>
              <w:rPr>
                <w:rFonts w:hint="eastAsia" w:eastAsia="宋体"/>
                <w:kern w:val="0"/>
                <w:szCs w:val="21"/>
                <w:lang w:val="en-US"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黑体"/>
                <w:kern w:val="0"/>
                <w:szCs w:val="21"/>
              </w:rPr>
            </w:pPr>
            <w:r>
              <w:rPr>
                <w:rFonts w:eastAsia="黑体"/>
                <w:kern w:val="0"/>
                <w:szCs w:val="21"/>
              </w:rPr>
              <w:t>12.6.5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pPr>
              <w:widowControl/>
              <w:spacing w:line="300" w:lineRule="exact"/>
              <w:jc w:val="center"/>
              <w:rPr>
                <w:rFonts w:hint="eastAsia" w:eastAsia="宋体"/>
                <w:kern w:val="0"/>
                <w:szCs w:val="21"/>
                <w:lang w:val="en-US" w:eastAsia="zh-CN"/>
              </w:rPr>
            </w:pPr>
          </w:p>
        </w:tc>
        <w:tc>
          <w:tcPr>
            <w:tcW w:w="853" w:type="dxa"/>
            <w:vAlign w:val="center"/>
          </w:tcPr>
          <w:p>
            <w:pPr>
              <w:widowControl/>
              <w:spacing w:line="300" w:lineRule="exact"/>
              <w:jc w:val="center"/>
              <w:rPr>
                <w:kern w:val="0"/>
                <w:szCs w:val="21"/>
              </w:rPr>
            </w:pPr>
          </w:p>
        </w:tc>
        <w:tc>
          <w:tcPr>
            <w:tcW w:w="882" w:type="dxa"/>
            <w:vAlign w:val="center"/>
          </w:tcPr>
          <w:p>
            <w:pPr>
              <w:widowControl/>
              <w:spacing w:line="300" w:lineRule="exact"/>
              <w:jc w:val="center"/>
              <w:rPr>
                <w:kern w:val="0"/>
                <w:szCs w:val="21"/>
              </w:rPr>
            </w:pPr>
          </w:p>
        </w:tc>
        <w:tc>
          <w:tcPr>
            <w:tcW w:w="2120" w:type="dxa"/>
            <w:vAlign w:val="center"/>
          </w:tcPr>
          <w:p>
            <w:pPr>
              <w:widowControl/>
              <w:spacing w:line="300" w:lineRule="exact"/>
              <w:jc w:val="left"/>
              <w:rPr>
                <w:kern w:val="0"/>
                <w:szCs w:val="21"/>
              </w:rPr>
            </w:pPr>
          </w:p>
        </w:tc>
      </w:tr>
    </w:tbl>
    <w:p>
      <w:pPr>
        <w:adjustRightInd w:val="0"/>
        <w:snapToGrid w:val="0"/>
        <w:spacing w:before="156" w:beforeLines="50"/>
        <w:jc w:val="left"/>
      </w:pPr>
    </w:p>
    <w:sectPr>
      <w:footerReference r:id="rId3" w:type="default"/>
      <w:pgSz w:w="16838" w:h="11906" w:orient="landscape"/>
      <w:pgMar w:top="1247" w:right="1418" w:bottom="1134"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ºÚÌå">
    <w:altName w:val="Arial"/>
    <w:panose1 w:val="00000000000000000000"/>
    <w:charset w:val="00"/>
    <w:family w:val="moder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THU" w:date="2017-05-13T21:17:00Z"/>
  <w:sdt>
    <w:sdtPr>
      <w:rPr/>
      <w:id w:val="1132680932"/>
    </w:sdtPr>
    <w:sdtEndPr>
      <w:rPr/>
    </w:sdtEndPr>
    <w:sdtContent>
      <w:customXmlInsRangeEnd w:id="0"/>
      <w:p>
        <w:pPr>
          <w:pStyle w:val="13"/>
          <w:jc w:val="center"/>
          <w:rPr>
            <w:ins w:id="2" w:author="THU" w:date="2017-05-13T21:17:00Z"/>
          </w:rPr>
        </w:pPr>
        <w:ins w:id="4" w:author="THU" w:date="2017-05-13T21:17:00Z">
          <w:r>
            <w:rPr/>
            <w:fldChar w:fldCharType="begin"/>
          </w:r>
        </w:ins>
        <w:ins w:id="5" w:author="THU" w:date="2017-05-13T21:17:00Z">
          <w:r>
            <w:rPr/>
            <w:instrText xml:space="preserve">PAGE   \* MERGEFORMAT</w:instrText>
          </w:r>
        </w:ins>
        <w:ins w:id="6" w:author="THU" w:date="2017-05-13T21:17:00Z">
          <w:r>
            <w:rPr/>
            <w:fldChar w:fldCharType="separate"/>
          </w:r>
        </w:ins>
        <w:r>
          <w:rPr>
            <w:lang w:val="zh-CN"/>
          </w:rPr>
          <w:t>-</w:t>
        </w:r>
        <w:r>
          <w:t xml:space="preserve"> 29 -</w:t>
        </w:r>
        <w:ins w:id="7" w:author="THU" w:date="2017-05-13T21:17:00Z">
          <w:r>
            <w:rPr/>
            <w:fldChar w:fldCharType="end"/>
          </w:r>
        </w:ins>
      </w:p>
      <w:customXmlInsRangeStart w:id="9" w:author="THU" w:date="2017-05-13T21:17:00Z"/>
    </w:sdtContent>
  </w:sdt>
  <w:customXmlInsRangeEnd w:id="9"/>
  <w:p>
    <w:pPr>
      <w:pStyle w:val="1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47F3"/>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47F4"/>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705"/>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2D7A"/>
    <w:rsid w:val="0036517E"/>
    <w:rsid w:val="00365B6D"/>
    <w:rsid w:val="00366172"/>
    <w:rsid w:val="0036769E"/>
    <w:rsid w:val="00367ADB"/>
    <w:rsid w:val="00373C75"/>
    <w:rsid w:val="00376FAB"/>
    <w:rsid w:val="0037763C"/>
    <w:rsid w:val="00377F67"/>
    <w:rsid w:val="00381C42"/>
    <w:rsid w:val="00387213"/>
    <w:rsid w:val="00387D20"/>
    <w:rsid w:val="00390D3D"/>
    <w:rsid w:val="00391CDC"/>
    <w:rsid w:val="00392D88"/>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D708B"/>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4579"/>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5FA4"/>
    <w:rsid w:val="004A60DD"/>
    <w:rsid w:val="004B0CEC"/>
    <w:rsid w:val="004B17E1"/>
    <w:rsid w:val="004B2DB2"/>
    <w:rsid w:val="004C130A"/>
    <w:rsid w:val="004C1F34"/>
    <w:rsid w:val="004C4077"/>
    <w:rsid w:val="004C689D"/>
    <w:rsid w:val="004C7968"/>
    <w:rsid w:val="004D198C"/>
    <w:rsid w:val="004D4C5E"/>
    <w:rsid w:val="004D617A"/>
    <w:rsid w:val="004D7784"/>
    <w:rsid w:val="004D7E49"/>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B4D"/>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2E9C"/>
    <w:rsid w:val="0062355B"/>
    <w:rsid w:val="00626296"/>
    <w:rsid w:val="0062679F"/>
    <w:rsid w:val="00630176"/>
    <w:rsid w:val="00630DB7"/>
    <w:rsid w:val="006329A4"/>
    <w:rsid w:val="00632D65"/>
    <w:rsid w:val="00634569"/>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06A"/>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18A"/>
    <w:rsid w:val="00B17AE3"/>
    <w:rsid w:val="00B24420"/>
    <w:rsid w:val="00B2586B"/>
    <w:rsid w:val="00B261C1"/>
    <w:rsid w:val="00B30727"/>
    <w:rsid w:val="00B317FF"/>
    <w:rsid w:val="00B34DC0"/>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537"/>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080D"/>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B71E9"/>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4B74"/>
    <w:rsid w:val="00F463BA"/>
    <w:rsid w:val="00F47256"/>
    <w:rsid w:val="00F547FB"/>
    <w:rsid w:val="00F636DA"/>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0F71523C"/>
    <w:rsid w:val="13197FE1"/>
    <w:rsid w:val="17F301A9"/>
    <w:rsid w:val="1E2B1191"/>
    <w:rsid w:val="2CB803FD"/>
    <w:rsid w:val="30A8468E"/>
    <w:rsid w:val="35F44B66"/>
    <w:rsid w:val="44EF55B3"/>
    <w:rsid w:val="4E9F73FB"/>
    <w:rsid w:val="54E86EE4"/>
    <w:rsid w:val="5CF01AC2"/>
    <w:rsid w:val="5D4E5899"/>
    <w:rsid w:val="60895EF6"/>
    <w:rsid w:val="645C6F60"/>
    <w:rsid w:val="69955344"/>
    <w:rsid w:val="70D77E56"/>
    <w:rsid w:val="74590F52"/>
    <w:rsid w:val="7713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29"/>
    <w:semiHidden/>
    <w:qFormat/>
    <w:uiPriority w:val="0"/>
    <w:rPr>
      <w:rFonts w:ascii="宋体"/>
      <w:kern w:val="0"/>
      <w:sz w:val="18"/>
      <w:szCs w:val="18"/>
    </w:rPr>
  </w:style>
  <w:style w:type="paragraph" w:styleId="6">
    <w:name w:val="annotation text"/>
    <w:basedOn w:val="1"/>
    <w:link w:val="50"/>
    <w:qFormat/>
    <w:uiPriority w:val="0"/>
    <w:pPr>
      <w:spacing w:line="460" w:lineRule="exact"/>
      <w:jc w:val="left"/>
    </w:pPr>
    <w:rPr>
      <w:rFonts w:ascii="Calibri" w:hAnsi="Calibri"/>
      <w:szCs w:val="21"/>
    </w:rPr>
  </w:style>
  <w:style w:type="paragraph" w:styleId="7">
    <w:name w:val="Body Text"/>
    <w:basedOn w:val="1"/>
    <w:link w:val="45"/>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32"/>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31"/>
    <w:semiHidden/>
    <w:qFormat/>
    <w:uiPriority w:val="0"/>
    <w:rPr>
      <w:kern w:val="0"/>
      <w:sz w:val="18"/>
      <w:szCs w:val="18"/>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35"/>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0"/>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1"/>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rPr>
      <w:rFonts w:cs="Times New Roman"/>
    </w:rPr>
  </w:style>
  <w:style w:type="character" w:styleId="22">
    <w:name w:val="FollowedHyperlink"/>
    <w:qFormat/>
    <w:uiPriority w:val="0"/>
    <w:rPr>
      <w:rFonts w:cs="Times New Roman"/>
      <w:color w:val="800080"/>
      <w:u w:val="single"/>
    </w:rPr>
  </w:style>
  <w:style w:type="character" w:styleId="23">
    <w:name w:val="Hyperlink"/>
    <w:qFormat/>
    <w:uiPriority w:val="0"/>
    <w:rPr>
      <w:rFonts w:cs="Times New Roman"/>
      <w:color w:val="1B227E"/>
      <w:u w:val="none"/>
    </w:rPr>
  </w:style>
  <w:style w:type="character" w:styleId="24">
    <w:name w:val="annotation reference"/>
    <w:semiHidden/>
    <w:qFormat/>
    <w:uiPriority w:val="0"/>
    <w:rPr>
      <w:rFonts w:cs="Times New Roman"/>
      <w:sz w:val="21"/>
      <w:szCs w:val="21"/>
    </w:rPr>
  </w:style>
  <w:style w:type="character" w:styleId="25">
    <w:name w:val="footnote reference"/>
    <w:semiHidden/>
    <w:qFormat/>
    <w:uiPriority w:val="0"/>
    <w:rPr>
      <w:rFonts w:cs="Times New Roman"/>
      <w:vertAlign w:val="superscript"/>
    </w:rPr>
  </w:style>
  <w:style w:type="paragraph" w:customStyle="1" w:styleId="26">
    <w:name w:val="列出段落1"/>
    <w:basedOn w:val="1"/>
    <w:qFormat/>
    <w:uiPriority w:val="0"/>
    <w:pPr>
      <w:ind w:firstLine="420" w:firstLineChars="200"/>
    </w:pPr>
  </w:style>
  <w:style w:type="character" w:customStyle="1" w:styleId="27">
    <w:name w:val="页眉 Char"/>
    <w:link w:val="14"/>
    <w:qFormat/>
    <w:locked/>
    <w:uiPriority w:val="0"/>
    <w:rPr>
      <w:rFonts w:cs="Times New Roman"/>
      <w:sz w:val="18"/>
      <w:szCs w:val="18"/>
    </w:rPr>
  </w:style>
  <w:style w:type="character" w:customStyle="1" w:styleId="28">
    <w:name w:val="页脚 Char"/>
    <w:link w:val="13"/>
    <w:qFormat/>
    <w:locked/>
    <w:uiPriority w:val="99"/>
    <w:rPr>
      <w:rFonts w:cs="Times New Roman"/>
      <w:sz w:val="18"/>
      <w:szCs w:val="18"/>
    </w:rPr>
  </w:style>
  <w:style w:type="character" w:customStyle="1" w:styleId="29">
    <w:name w:val="文档结构图 Char"/>
    <w:link w:val="5"/>
    <w:qFormat/>
    <w:locked/>
    <w:uiPriority w:val="0"/>
    <w:rPr>
      <w:rFonts w:ascii="宋体" w:cs="Times New Roman"/>
      <w:sz w:val="18"/>
      <w:szCs w:val="18"/>
    </w:rPr>
  </w:style>
  <w:style w:type="character" w:customStyle="1" w:styleId="30">
    <w:name w:val="标题 1 Char"/>
    <w:link w:val="2"/>
    <w:qFormat/>
    <w:locked/>
    <w:uiPriority w:val="0"/>
    <w:rPr>
      <w:rFonts w:cs="Times New Roman"/>
      <w:b/>
      <w:bCs/>
      <w:kern w:val="44"/>
      <w:sz w:val="44"/>
      <w:szCs w:val="44"/>
    </w:rPr>
  </w:style>
  <w:style w:type="character" w:customStyle="1" w:styleId="31">
    <w:name w:val="批注框文本 Char"/>
    <w:link w:val="12"/>
    <w:qFormat/>
    <w:locked/>
    <w:uiPriority w:val="0"/>
    <w:rPr>
      <w:rFonts w:cs="Times New Roman"/>
      <w:sz w:val="18"/>
      <w:szCs w:val="18"/>
    </w:rPr>
  </w:style>
  <w:style w:type="character" w:customStyle="1" w:styleId="32">
    <w:name w:val="日期 Char"/>
    <w:link w:val="10"/>
    <w:qFormat/>
    <w:locked/>
    <w:uiPriority w:val="0"/>
    <w:rPr>
      <w:rFonts w:cs="Times New Roman"/>
      <w:sz w:val="24"/>
      <w:szCs w:val="24"/>
    </w:rPr>
  </w:style>
  <w:style w:type="paragraph" w:customStyle="1" w:styleId="33">
    <w:name w:val="修订1"/>
    <w:hidden/>
    <w:qFormat/>
    <w:uiPriority w:val="0"/>
    <w:rPr>
      <w:rFonts w:ascii="Times New Roman" w:hAnsi="Times New Roman" w:eastAsia="宋体" w:cs="Times New Roman"/>
      <w:kern w:val="2"/>
      <w:sz w:val="21"/>
      <w:szCs w:val="24"/>
      <w:lang w:val="en-US" w:eastAsia="zh-CN" w:bidi="ar-SA"/>
    </w:rPr>
  </w:style>
  <w:style w:type="character" w:customStyle="1" w:styleId="34">
    <w:name w:val="标题 2 Char"/>
    <w:link w:val="3"/>
    <w:qFormat/>
    <w:locked/>
    <w:uiPriority w:val="0"/>
    <w:rPr>
      <w:rFonts w:ascii="宋体" w:eastAsia="宋体" w:cs="Times New Roman"/>
      <w:b/>
      <w:bCs/>
      <w:sz w:val="36"/>
      <w:szCs w:val="36"/>
    </w:rPr>
  </w:style>
  <w:style w:type="character" w:customStyle="1" w:styleId="35">
    <w:name w:val="正文文本缩进 3 Char"/>
    <w:link w:val="15"/>
    <w:qFormat/>
    <w:locked/>
    <w:uiPriority w:val="0"/>
    <w:rPr>
      <w:rFonts w:ascii="宋体" w:eastAsia="宋体" w:cs="Times New Roman"/>
      <w:sz w:val="21"/>
      <w:szCs w:val="21"/>
    </w:rPr>
  </w:style>
  <w:style w:type="paragraph" w:customStyle="1" w:styleId="36">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7">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character" w:customStyle="1" w:styleId="38">
    <w:name w:val="正文文本缩进 Char"/>
    <w:link w:val="8"/>
    <w:qFormat/>
    <w:locked/>
    <w:uiPriority w:val="0"/>
    <w:rPr>
      <w:rFonts w:ascii="仿宋_GB2312" w:eastAsia="仿宋_GB2312" w:cs="Times New Roman"/>
      <w:kern w:val="2"/>
      <w:sz w:val="32"/>
    </w:rPr>
  </w:style>
  <w:style w:type="paragraph" w:customStyle="1" w:styleId="39">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40">
    <w:name w:val="主题词"/>
    <w:basedOn w:val="1"/>
    <w:qFormat/>
    <w:uiPriority w:val="0"/>
    <w:pPr>
      <w:adjustRightInd w:val="0"/>
      <w:spacing w:line="440" w:lineRule="atLeast"/>
      <w:jc w:val="left"/>
      <w:textAlignment w:val="bottom"/>
    </w:pPr>
    <w:rPr>
      <w:rFonts w:eastAsia="黑体"/>
      <w:kern w:val="0"/>
      <w:sz w:val="28"/>
      <w:szCs w:val="20"/>
    </w:rPr>
  </w:style>
  <w:style w:type="paragraph" w:customStyle="1" w:styleId="41">
    <w:name w:val="函号"/>
    <w:basedOn w:val="1"/>
    <w:qFormat/>
    <w:uiPriority w:val="0"/>
    <w:pPr>
      <w:adjustRightInd w:val="0"/>
      <w:spacing w:line="440" w:lineRule="atLeast"/>
      <w:jc w:val="right"/>
      <w:textAlignment w:val="bottom"/>
    </w:pPr>
    <w:rPr>
      <w:rFonts w:eastAsia="仿宋_GB2312"/>
      <w:kern w:val="0"/>
      <w:sz w:val="28"/>
      <w:szCs w:val="20"/>
    </w:rPr>
  </w:style>
  <w:style w:type="character" w:customStyle="1" w:styleId="42">
    <w:name w:val="正文文本缩进 2 Char"/>
    <w:link w:val="11"/>
    <w:qFormat/>
    <w:locked/>
    <w:uiPriority w:val="0"/>
    <w:rPr>
      <w:rFonts w:ascii="仿宋_GB2312" w:eastAsia="仿宋_GB2312" w:cs="Times New Roman"/>
      <w:sz w:val="28"/>
    </w:rPr>
  </w:style>
  <w:style w:type="paragraph" w:customStyle="1" w:styleId="43">
    <w:name w:val="文号"/>
    <w:basedOn w:val="1"/>
    <w:qFormat/>
    <w:uiPriority w:val="0"/>
    <w:pPr>
      <w:adjustRightInd w:val="0"/>
      <w:spacing w:before="2550" w:line="360" w:lineRule="atLeast"/>
      <w:jc w:val="center"/>
      <w:textAlignment w:val="baseline"/>
    </w:pPr>
    <w:rPr>
      <w:rFonts w:eastAsia="仿宋_GB2312"/>
      <w:kern w:val="0"/>
      <w:sz w:val="28"/>
      <w:szCs w:val="20"/>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正文文本 Char"/>
    <w:link w:val="7"/>
    <w:qFormat/>
    <w:locked/>
    <w:uiPriority w:val="0"/>
    <w:rPr>
      <w:rFonts w:eastAsia="仿宋_GB2312" w:cs="Times New Roman"/>
      <w:kern w:val="2"/>
      <w:sz w:val="28"/>
    </w:rPr>
  </w:style>
  <w:style w:type="character" w:customStyle="1" w:styleId="46">
    <w:name w:val="unnamed2"/>
    <w:qFormat/>
    <w:uiPriority w:val="0"/>
    <w:rPr>
      <w:rFonts w:cs="Times New Roman"/>
    </w:rPr>
  </w:style>
  <w:style w:type="character" w:customStyle="1" w:styleId="47">
    <w:name w:val="high-light-bg4"/>
    <w:qFormat/>
    <w:uiPriority w:val="0"/>
    <w:rPr>
      <w:rFonts w:cs="Times New Roman"/>
    </w:rPr>
  </w:style>
  <w:style w:type="paragraph" w:customStyle="1" w:styleId="4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character" w:customStyle="1" w:styleId="49">
    <w:name w:val="edited2"/>
    <w:qFormat/>
    <w:uiPriority w:val="0"/>
    <w:rPr>
      <w:rFonts w:cs="Times New Roman"/>
    </w:rPr>
  </w:style>
  <w:style w:type="character" w:customStyle="1" w:styleId="50">
    <w:name w:val="批注文字 Char"/>
    <w:link w:val="6"/>
    <w:qFormat/>
    <w:locked/>
    <w:uiPriority w:val="0"/>
    <w:rPr>
      <w:rFonts w:ascii="Calibri" w:hAnsi="Calibri" w:cs="Calibri"/>
      <w:kern w:val="2"/>
      <w:sz w:val="21"/>
      <w:szCs w:val="21"/>
    </w:rPr>
  </w:style>
  <w:style w:type="character" w:customStyle="1" w:styleId="51">
    <w:name w:val="批注主题 Char"/>
    <w:link w:val="17"/>
    <w:semiHidden/>
    <w:qFormat/>
    <w:locked/>
    <w:uiPriority w:val="0"/>
    <w:rPr>
      <w:rFonts w:ascii="Calibri" w:hAnsi="Calibri" w:cs="Calibri"/>
      <w:b/>
      <w:bCs/>
      <w:kern w:val="2"/>
      <w:sz w:val="21"/>
      <w:szCs w:val="21"/>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0CAF5-EFE1-49B3-9F44-DC582C2BE917}">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29</Pages>
  <Words>3255</Words>
  <Characters>18560</Characters>
  <Lines>154</Lines>
  <Paragraphs>43</Paragraphs>
  <TotalTime>60</TotalTime>
  <ScaleCrop>false</ScaleCrop>
  <LinksUpToDate>false</LinksUpToDate>
  <CharactersWithSpaces>21772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2017-06-08T09:55:00Z</dcterms:created>
  <dc:creator>LIU</dc:creator>
  <cp:lastModifiedBy>木拿艺</cp:lastModifiedBy>
  <cp:lastPrinted>2020-08-28T04:01:00Z</cp:lastPrinted>
  <dcterms:modified xsi:type="dcterms:W3CDTF">2020-09-17T04:09:52Z</dcterms:modified>
  <dc:title>*</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