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5A332">
      <w:pPr>
        <w:keepNext w:val="0"/>
        <w:keepLines w:val="0"/>
        <w:pageBreakBefore w:val="0"/>
        <w:widowControl w:val="0"/>
        <w:kinsoku/>
        <w:wordWrap/>
        <w:overflowPunct/>
        <w:topLinePunct w:val="0"/>
        <w:autoSpaceDE/>
        <w:autoSpaceDN/>
        <w:bidi w:val="0"/>
        <w:adjustRightInd w:val="0"/>
        <w:snapToGrid w:val="0"/>
        <w:spacing w:line="550" w:lineRule="exact"/>
        <w:ind w:firstLine="361" w:firstLineChars="100"/>
        <w:jc w:val="both"/>
        <w:textAlignment w:val="auto"/>
        <w:rPr>
          <w:rFonts w:hint="eastAsia" w:ascii="仿宋_GB2312" w:hAnsi="宋体" w:eastAsia="仿宋_GB2312"/>
          <w:b/>
          <w:bCs/>
          <w:sz w:val="36"/>
          <w:szCs w:val="36"/>
          <w:lang w:val="en-US" w:eastAsia="zh-CN"/>
        </w:rPr>
      </w:pPr>
    </w:p>
    <w:p w14:paraId="3F490776">
      <w:pPr>
        <w:keepNext w:val="0"/>
        <w:keepLines w:val="0"/>
        <w:pageBreakBefore w:val="0"/>
        <w:widowControl w:val="0"/>
        <w:kinsoku/>
        <w:wordWrap/>
        <w:overflowPunct/>
        <w:topLinePunct w:val="0"/>
        <w:autoSpaceDE/>
        <w:autoSpaceDN/>
        <w:bidi w:val="0"/>
        <w:adjustRightInd w:val="0"/>
        <w:snapToGrid w:val="0"/>
        <w:spacing w:line="550" w:lineRule="exact"/>
        <w:ind w:firstLine="361" w:firstLineChars="100"/>
        <w:jc w:val="both"/>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关于做好</w:t>
      </w:r>
      <w:r>
        <w:rPr>
          <w:rFonts w:hint="eastAsia" w:ascii="黑体" w:hAnsi="黑体" w:eastAsia="黑体" w:cs="黑体"/>
          <w:b/>
          <w:bCs/>
          <w:sz w:val="36"/>
          <w:szCs w:val="36"/>
        </w:rPr>
        <w:t>202</w:t>
      </w:r>
      <w:r>
        <w:rPr>
          <w:rFonts w:hint="eastAsia" w:ascii="黑体" w:hAnsi="黑体" w:eastAsia="黑体" w:cs="黑体"/>
          <w:b/>
          <w:bCs/>
          <w:sz w:val="36"/>
          <w:szCs w:val="36"/>
          <w:lang w:val="en-US" w:eastAsia="zh-CN"/>
        </w:rPr>
        <w:t>6</w:t>
      </w:r>
      <w:r>
        <w:rPr>
          <w:rFonts w:hint="eastAsia" w:ascii="黑体" w:hAnsi="黑体" w:eastAsia="黑体" w:cs="黑体"/>
          <w:b/>
          <w:bCs/>
          <w:sz w:val="36"/>
          <w:szCs w:val="36"/>
        </w:rPr>
        <w:t>年度</w:t>
      </w:r>
      <w:r>
        <w:rPr>
          <w:rFonts w:hint="eastAsia" w:ascii="黑体" w:hAnsi="黑体" w:eastAsia="黑体" w:cs="黑体"/>
          <w:b/>
          <w:bCs/>
          <w:sz w:val="36"/>
          <w:szCs w:val="36"/>
          <w:lang w:val="en-US" w:eastAsia="zh-CN"/>
        </w:rPr>
        <w:t>杭州市</w:t>
      </w:r>
      <w:r>
        <w:rPr>
          <w:rFonts w:hint="eastAsia" w:ascii="黑体" w:hAnsi="黑体" w:eastAsia="黑体" w:cs="黑体"/>
          <w:b/>
          <w:bCs/>
          <w:sz w:val="36"/>
          <w:szCs w:val="36"/>
        </w:rPr>
        <w:t>“115”引进国(境)外智力</w:t>
      </w:r>
    </w:p>
    <w:p w14:paraId="606BE34E">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计划</w:t>
      </w:r>
      <w:r>
        <w:rPr>
          <w:rFonts w:hint="eastAsia" w:ascii="黑体" w:hAnsi="黑体" w:eastAsia="黑体" w:cs="黑体"/>
          <w:b/>
          <w:bCs/>
          <w:sz w:val="36"/>
          <w:szCs w:val="36"/>
          <w:lang w:val="en-US" w:eastAsia="zh-CN"/>
        </w:rPr>
        <w:t>项目申报</w:t>
      </w:r>
      <w:r>
        <w:rPr>
          <w:rFonts w:hint="eastAsia" w:ascii="黑体" w:hAnsi="黑体" w:eastAsia="黑体" w:cs="黑体"/>
          <w:b/>
          <w:bCs/>
          <w:sz w:val="36"/>
          <w:szCs w:val="36"/>
        </w:rPr>
        <w:t>工作</w:t>
      </w:r>
      <w:r>
        <w:rPr>
          <w:rFonts w:hint="eastAsia" w:ascii="黑体" w:hAnsi="黑体" w:eastAsia="黑体" w:cs="黑体"/>
          <w:b/>
          <w:bCs/>
          <w:sz w:val="36"/>
          <w:szCs w:val="36"/>
          <w:lang w:val="en-US" w:eastAsia="zh-CN"/>
        </w:rPr>
        <w:t>的</w:t>
      </w:r>
      <w:r>
        <w:rPr>
          <w:rFonts w:hint="eastAsia" w:ascii="黑体" w:hAnsi="黑体" w:eastAsia="黑体" w:cs="黑体"/>
          <w:b/>
          <w:bCs/>
          <w:sz w:val="36"/>
          <w:szCs w:val="36"/>
        </w:rPr>
        <w:t>通知</w:t>
      </w:r>
    </w:p>
    <w:p w14:paraId="5564CF2A">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hint="eastAsia" w:ascii="仿宋_GB2312" w:hAnsi="宋体" w:eastAsia="仿宋_GB2312"/>
          <w:b/>
          <w:bCs/>
          <w:sz w:val="36"/>
          <w:szCs w:val="36"/>
        </w:rPr>
      </w:pPr>
    </w:p>
    <w:p w14:paraId="78974FE1">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sz w:val="32"/>
          <w:szCs w:val="32"/>
        </w:rPr>
      </w:pPr>
      <w:bookmarkStart w:id="0" w:name="_GoBack"/>
      <w:bookmarkEnd w:id="0"/>
      <w:r>
        <w:rPr>
          <w:rFonts w:hint="eastAsia" w:ascii="仿宋_GB2312" w:hAnsi="宋体" w:eastAsia="仿宋_GB2312"/>
          <w:sz w:val="32"/>
          <w:szCs w:val="32"/>
        </w:rPr>
        <w:t>根据相关文件精神，现就杭州市2026年度“115”引进国(境)外智力计划申报工作有关事项通知如下：</w:t>
      </w:r>
    </w:p>
    <w:p w14:paraId="5A0BA51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一、申报对象</w:t>
      </w:r>
    </w:p>
    <w:p w14:paraId="5C019287">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在我市</w:t>
      </w:r>
      <w:r>
        <w:rPr>
          <w:rFonts w:hint="eastAsia" w:ascii="仿宋_GB2312" w:hAnsi="宋体" w:eastAsia="仿宋_GB2312"/>
          <w:sz w:val="32"/>
          <w:szCs w:val="32"/>
        </w:rPr>
        <w:t>依法设立的</w:t>
      </w:r>
      <w:r>
        <w:rPr>
          <w:rFonts w:hint="eastAsia" w:ascii="仿宋_GB2312" w:hAnsi="宋体" w:eastAsia="仿宋_GB2312"/>
          <w:sz w:val="32"/>
          <w:szCs w:val="32"/>
          <w:lang w:val="en-US" w:eastAsia="zh-CN"/>
        </w:rPr>
        <w:t>企事业</w:t>
      </w:r>
      <w:r>
        <w:rPr>
          <w:rFonts w:hint="eastAsia" w:ascii="仿宋_GB2312" w:hAnsi="宋体" w:eastAsia="仿宋_GB2312"/>
          <w:sz w:val="32"/>
          <w:szCs w:val="32"/>
        </w:rPr>
        <w:t>单位，根据杭州经济社会发展需要，引进高端外国专家和国（境）外智力项目，并符合相关条件的，可申报本计划资助，经评审并立项的可享受相关资金和政策扶持。</w:t>
      </w:r>
    </w:p>
    <w:p w14:paraId="73E3E19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二、申报条件</w:t>
      </w:r>
    </w:p>
    <w:p w14:paraId="70B9811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 xml:space="preserve">（一）单位引进的高端外国专家，须在该单位担任中层及以上职务，或担任某项工程、技术、项目和学科的负责人（带头人），且原则上聘用时间不少于1年、1个年度内在杭实际工作时间不少于2个月（从事研发、设计类等可不在杭完成工作任务的专家除外），年薪在60万元（人民币，下同）及以上，并具备下列条件之一： </w:t>
      </w:r>
    </w:p>
    <w:p w14:paraId="323B637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1.在国（境）外高校、科研院所担任相当于副教授以上职务的专家学者；</w:t>
      </w:r>
    </w:p>
    <w:p w14:paraId="25D457C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2.在国（境）外知名企业或机构担任中、高级职务的专业技术人才和经营管理人才；</w:t>
      </w:r>
    </w:p>
    <w:p w14:paraId="5BB115F9">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3.拥有自主知识产权或掌握核心技术的专业人才；</w:t>
      </w:r>
    </w:p>
    <w:p w14:paraId="3C5CD35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4.高层次国（境）外专家工作团队中的主要成员；</w:t>
      </w:r>
    </w:p>
    <w:p w14:paraId="5E4840E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5.其他急需或紧缺的高层次外国专家。</w:t>
      </w:r>
    </w:p>
    <w:p w14:paraId="5D89A2D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（二）单位实施的引进国（境）外智力项目，应为引进国（境）外（包括港、澳、台）技术、管理专家来杭帮助解决生产、科研和管理过程中存在的技术或管理难题的项目，分别为重点项目和优秀项目予以资助。</w:t>
      </w:r>
    </w:p>
    <w:p w14:paraId="4AD5F3E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三、资助方式</w:t>
      </w:r>
    </w:p>
    <w:p w14:paraId="20845F8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一）对引进的高端外国专家实行年薪资助。资助金额按各单位与外国专家签订的合同或协议中明确的年薪高低分为60（含）-80万元、80（含）万元以上2个区间，分别按年薪的50%、60%的标准给予资助，资助金额最高不超过60万元。</w:t>
      </w:r>
    </w:p>
    <w:p w14:paraId="7741810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（二）对引进的国（境）外智力项目实行项目资金资助。按重点项目和优秀项目分别给予30万元和不超过20万元资助。</w:t>
      </w:r>
    </w:p>
    <w:p w14:paraId="46AD4AE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（三）以上资助，市属单位资助资金由市本级财政承担，区、县（市）属单位资助资金由市和区、县（市）财政各承担50%。</w:t>
      </w:r>
    </w:p>
    <w:p w14:paraId="1530A622">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（四）引进国（境）外智力项目及同一项目中的同一专家当年度不同时享受年薪资助和项目资助。</w:t>
      </w:r>
    </w:p>
    <w:p w14:paraId="5EC42EF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（五）市本级财政所需资金在市人才发展专项资金中列支。</w:t>
      </w:r>
    </w:p>
    <w:p w14:paraId="462BDC51">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（六）已获其他市级人才专项资金资助的，不再重复资助。</w:t>
      </w:r>
    </w:p>
    <w:p w14:paraId="5CBADF0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（七）对聘请的各类外国专家提供居留和出入境、医疗保障、子女就学、人才信息等方面的便捷服务，逐步形成引进、培养、使用、激励、保障国外智力的全方位、多层次扶持政策体系。</w:t>
      </w:r>
    </w:p>
    <w:p w14:paraId="67E6F5AA">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四、申报程序</w:t>
      </w:r>
    </w:p>
    <w:p w14:paraId="387501B5">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color w:val="000000"/>
          <w:kern w:val="0"/>
          <w:sz w:val="32"/>
          <w:szCs w:val="32"/>
          <w:shd w:val="clear" w:color="auto" w:fill="FFFFFF"/>
        </w:rPr>
      </w:pPr>
      <w:r>
        <w:rPr>
          <w:rFonts w:hint="eastAsia" w:ascii="仿宋_GB2312" w:hAnsi="Times New Roman" w:eastAsia="仿宋_GB2312"/>
          <w:sz w:val="32"/>
          <w:szCs w:val="32"/>
        </w:rPr>
        <w:t>1．网上申报。符合上述申报条件的引智单位请于</w:t>
      </w:r>
      <w:r>
        <w:rPr>
          <w:rFonts w:hint="eastAsia" w:ascii="仿宋_GB2312" w:hAnsi="Times New Roman" w:eastAsia="仿宋_GB2312"/>
          <w:sz w:val="32"/>
          <w:szCs w:val="32"/>
          <w:lang w:val="en-US" w:eastAsia="zh-CN"/>
        </w:rPr>
        <w:t>2025年4</w:t>
      </w:r>
      <w:r>
        <w:rPr>
          <w:rFonts w:hint="eastAsia" w:ascii="仿宋_GB2312" w:hAnsi="Times New Roman" w:eastAsia="仿宋_GB2312"/>
          <w:w w:val="100"/>
          <w:sz w:val="32"/>
          <w:szCs w:val="32"/>
        </w:rPr>
        <w:t>月</w:t>
      </w:r>
      <w:r>
        <w:rPr>
          <w:rFonts w:hint="eastAsia" w:ascii="仿宋_GB2312" w:hAnsi="Times New Roman" w:eastAsia="仿宋_GB2312"/>
          <w:w w:val="100"/>
          <w:sz w:val="32"/>
          <w:szCs w:val="32"/>
          <w:lang w:val="en-US" w:eastAsia="zh-CN"/>
        </w:rPr>
        <w:t>17</w:t>
      </w:r>
      <w:r>
        <w:rPr>
          <w:rFonts w:hint="eastAsia" w:ascii="仿宋_GB2312" w:hAnsi="Times New Roman" w:eastAsia="仿宋_GB2312"/>
          <w:w w:val="100"/>
          <w:sz w:val="32"/>
          <w:szCs w:val="32"/>
        </w:rPr>
        <w:t>日</w:t>
      </w:r>
      <w:r>
        <w:rPr>
          <w:rFonts w:hint="eastAsia" w:ascii="仿宋_GB2312" w:hAnsi="Times New Roman" w:eastAsia="仿宋_GB2312"/>
          <w:w w:val="100"/>
          <w:sz w:val="32"/>
          <w:szCs w:val="32"/>
          <w:lang w:val="en-US" w:eastAsia="zh-CN"/>
        </w:rPr>
        <w:t>前</w:t>
      </w:r>
      <w:r>
        <w:rPr>
          <w:rFonts w:hint="eastAsia" w:ascii="仿宋_GB2312" w:hAnsi="Times New Roman" w:eastAsia="仿宋_GB2312"/>
          <w:w w:val="100"/>
          <w:sz w:val="32"/>
          <w:szCs w:val="32"/>
        </w:rPr>
        <w:t>登录</w:t>
      </w:r>
      <w:r>
        <w:rPr>
          <w:rFonts w:hint="eastAsia" w:ascii="仿宋_GB2312" w:hAnsi="Tahoma" w:eastAsia="仿宋_GB2312" w:cs="仿宋_GB2312"/>
          <w:color w:val="000000"/>
          <w:w w:val="100"/>
          <w:kern w:val="0"/>
          <w:sz w:val="32"/>
          <w:szCs w:val="32"/>
          <w:shd w:val="clear" w:color="auto" w:fill="FFFFFF"/>
          <w:lang w:val="en-US" w:eastAsia="zh-CN"/>
        </w:rPr>
        <w:t>杭州科技大脑</w:t>
      </w:r>
      <w:r>
        <w:rPr>
          <w:rFonts w:hint="eastAsia" w:ascii="仿宋_GB2312" w:hAnsi="Times New Roman" w:eastAsia="仿宋_GB2312"/>
          <w:color w:val="000000"/>
          <w:w w:val="100"/>
          <w:kern w:val="0"/>
          <w:sz w:val="32"/>
          <w:szCs w:val="32"/>
          <w:shd w:val="clear" w:color="auto" w:fill="FFFFFF"/>
        </w:rPr>
        <w:t>（</w:t>
      </w:r>
      <w:r>
        <w:rPr>
          <w:rFonts w:hint="default" w:ascii="Times New Roman" w:hAnsi="Times New Roman" w:eastAsia="仿宋_GB2312" w:cs="Times New Roman"/>
          <w:color w:val="000000"/>
          <w:w w:val="100"/>
          <w:kern w:val="0"/>
          <w:sz w:val="32"/>
          <w:szCs w:val="32"/>
          <w:shd w:val="clear" w:color="auto" w:fill="FFFFFF"/>
        </w:rPr>
        <w:t>https://ypt.kj.hangzhou.gov.cn/dn/</w:t>
      </w:r>
      <w:r>
        <w:rPr>
          <w:rFonts w:hint="eastAsia" w:ascii="仿宋_GB2312" w:hAnsi="Times New Roman" w:eastAsia="仿宋_GB2312"/>
          <w:color w:val="000000"/>
          <w:w w:val="100"/>
          <w:kern w:val="0"/>
          <w:sz w:val="32"/>
          <w:szCs w:val="32"/>
          <w:shd w:val="clear" w:color="auto" w:fill="FFFFFF"/>
        </w:rPr>
        <w:t>）</w:t>
      </w:r>
    </w:p>
    <w:p w14:paraId="5538AB7D">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eastAsia" w:ascii="仿宋_GB2312" w:hAnsi="Tahoma" w:eastAsia="仿宋_GB2312" w:cs="仿宋_GB2312"/>
          <w:color w:val="000000"/>
          <w:kern w:val="0"/>
          <w:sz w:val="32"/>
          <w:szCs w:val="32"/>
          <w:shd w:val="clear" w:color="auto" w:fill="FFFFFF"/>
        </w:rPr>
      </w:pPr>
      <w:r>
        <w:rPr>
          <w:rFonts w:hint="eastAsia" w:ascii="仿宋_GB2312" w:hAnsi="Tahoma" w:eastAsia="仿宋_GB2312" w:cs="仿宋_GB2312"/>
          <w:color w:val="000000"/>
          <w:kern w:val="0"/>
          <w:sz w:val="32"/>
          <w:szCs w:val="32"/>
          <w:shd w:val="clear" w:color="auto" w:fill="FFFFFF"/>
        </w:rPr>
        <w:t>进行</w:t>
      </w:r>
      <w:r>
        <w:rPr>
          <w:rFonts w:hint="eastAsia" w:ascii="仿宋_GB2312" w:hAnsi="Times New Roman" w:eastAsia="仿宋_GB2312"/>
          <w:sz w:val="32"/>
          <w:szCs w:val="32"/>
        </w:rPr>
        <w:t>网上申报。</w:t>
      </w:r>
      <w:r>
        <w:rPr>
          <w:rFonts w:hint="eastAsia" w:ascii="仿宋_GB2312" w:hAnsi="Tahoma" w:eastAsia="仿宋_GB2312" w:cs="仿宋_GB2312"/>
          <w:color w:val="000000"/>
          <w:kern w:val="0"/>
          <w:sz w:val="32"/>
          <w:szCs w:val="32"/>
          <w:shd w:val="clear" w:color="auto" w:fill="FFFFFF"/>
        </w:rPr>
        <w:t>本次申报工作统一通过杭州科技</w:t>
      </w:r>
      <w:r>
        <w:rPr>
          <w:rFonts w:hint="eastAsia" w:ascii="仿宋_GB2312" w:hAnsi="Tahoma" w:eastAsia="仿宋_GB2312" w:cs="仿宋_GB2312"/>
          <w:color w:val="000000"/>
          <w:kern w:val="0"/>
          <w:sz w:val="32"/>
          <w:szCs w:val="32"/>
          <w:shd w:val="clear" w:color="auto" w:fill="FFFFFF"/>
          <w:lang w:val="en-US" w:eastAsia="zh-CN"/>
        </w:rPr>
        <w:t>大脑</w:t>
      </w:r>
      <w:r>
        <w:rPr>
          <w:rFonts w:hint="eastAsia" w:ascii="仿宋_GB2312" w:hAnsi="Tahoma" w:eastAsia="仿宋_GB2312" w:cs="仿宋_GB2312"/>
          <w:color w:val="000000"/>
          <w:kern w:val="0"/>
          <w:sz w:val="32"/>
          <w:szCs w:val="32"/>
          <w:shd w:val="clear" w:color="auto" w:fill="FFFFFF"/>
        </w:rPr>
        <w:t>进行网络填报，使用政务服务网账号登录，无政务服务网账号请先注册。登录系统完善基本信息后</w:t>
      </w:r>
      <w:r>
        <w:rPr>
          <w:rFonts w:hint="eastAsia" w:ascii="仿宋_GB2312" w:hAnsi="Tahoma" w:eastAsia="仿宋_GB2312" w:cs="仿宋_GB2312"/>
          <w:color w:val="000000"/>
          <w:kern w:val="0"/>
          <w:sz w:val="32"/>
          <w:szCs w:val="32"/>
          <w:shd w:val="clear" w:color="auto" w:fill="FFFFFF"/>
          <w:lang w:eastAsia="zh-CN"/>
        </w:rPr>
        <w:t>，</w:t>
      </w:r>
      <w:r>
        <w:rPr>
          <w:rFonts w:hint="eastAsia" w:ascii="仿宋_GB2312" w:hAnsi="Tahoma" w:eastAsia="仿宋_GB2312" w:cs="仿宋_GB2312"/>
          <w:color w:val="000000"/>
          <w:kern w:val="0"/>
          <w:sz w:val="32"/>
          <w:szCs w:val="32"/>
          <w:shd w:val="clear" w:color="auto" w:fill="FFFFFF"/>
        </w:rPr>
        <w:t>自动跳转至杭州科技</w:t>
      </w:r>
      <w:r>
        <w:rPr>
          <w:rFonts w:hint="eastAsia" w:ascii="仿宋_GB2312" w:hAnsi="Tahoma" w:eastAsia="仿宋_GB2312" w:cs="仿宋_GB2312"/>
          <w:color w:val="000000"/>
          <w:kern w:val="0"/>
          <w:sz w:val="32"/>
          <w:szCs w:val="32"/>
          <w:shd w:val="clear" w:color="auto" w:fill="FFFFFF"/>
          <w:lang w:val="en-US" w:eastAsia="zh-CN"/>
        </w:rPr>
        <w:t>大脑</w:t>
      </w:r>
      <w:r>
        <w:rPr>
          <w:rFonts w:hint="eastAsia" w:ascii="仿宋_GB2312" w:hAnsi="Tahoma" w:eastAsia="仿宋_GB2312" w:cs="仿宋_GB2312"/>
          <w:color w:val="000000"/>
          <w:kern w:val="0"/>
          <w:sz w:val="32"/>
          <w:szCs w:val="32"/>
          <w:shd w:val="clear" w:color="auto" w:fill="FFFFFF"/>
        </w:rPr>
        <w:t xml:space="preserve">进行项目申报。  </w:t>
      </w:r>
    </w:p>
    <w:p w14:paraId="71A61DA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ahoma" w:eastAsia="仿宋_GB2312" w:cs="仿宋_GB2312"/>
          <w:color w:val="000000"/>
          <w:kern w:val="0"/>
          <w:sz w:val="32"/>
          <w:szCs w:val="32"/>
          <w:shd w:val="clear" w:color="auto" w:fill="FFFFFF"/>
        </w:rPr>
        <w:t>2．</w:t>
      </w:r>
      <w:r>
        <w:rPr>
          <w:rFonts w:ascii="仿宋_GB2312" w:hAnsi="Times New Roman" w:eastAsia="仿宋_GB2312"/>
          <w:sz w:val="32"/>
          <w:szCs w:val="32"/>
        </w:rPr>
        <w:t>在线审核。</w:t>
      </w:r>
      <w:r>
        <w:rPr>
          <w:rFonts w:hint="eastAsia" w:ascii="仿宋_GB2312" w:hAnsi="Times New Roman" w:eastAsia="仿宋_GB2312"/>
          <w:sz w:val="32"/>
          <w:szCs w:val="32"/>
        </w:rPr>
        <w:t>请各区、县（市）科技局按隶属关系进行网上初审，市</w:t>
      </w:r>
      <w:r>
        <w:rPr>
          <w:rFonts w:hint="eastAsia" w:ascii="仿宋_GB2312" w:hAnsi="宋体" w:eastAsia="仿宋_GB2312" w:cs="宋体"/>
          <w:kern w:val="0"/>
          <w:sz w:val="32"/>
          <w:szCs w:val="32"/>
          <w:lang w:eastAsia="zh-CN"/>
        </w:rPr>
        <w:t>科技局项目受理办</w:t>
      </w:r>
      <w:r>
        <w:rPr>
          <w:rFonts w:hint="eastAsia" w:ascii="仿宋_GB2312" w:hAnsi="Times New Roman" w:eastAsia="仿宋_GB2312"/>
          <w:sz w:val="32"/>
          <w:szCs w:val="32"/>
        </w:rPr>
        <w:t>进行网上复审；市直单位由市</w:t>
      </w:r>
      <w:r>
        <w:rPr>
          <w:rFonts w:hint="eastAsia" w:ascii="仿宋_GB2312" w:hAnsi="宋体" w:eastAsia="仿宋_GB2312" w:cs="宋体"/>
          <w:kern w:val="0"/>
          <w:sz w:val="32"/>
          <w:szCs w:val="32"/>
          <w:lang w:eastAsia="zh-CN"/>
        </w:rPr>
        <w:t>科技局项目受理办</w:t>
      </w:r>
      <w:r>
        <w:rPr>
          <w:rFonts w:hint="eastAsia" w:ascii="仿宋_GB2312" w:hAnsi="Times New Roman" w:eastAsia="仿宋_GB2312"/>
          <w:sz w:val="32"/>
          <w:szCs w:val="32"/>
        </w:rPr>
        <w:t>审核。通过网上审核的项目，申报单位将纸质材料（含系统生成的表格和上传附件）报送至各区、县（市）科技局或市直主管部门，经区、县（市）科技局会同属地财政部门或市直主管部门确认汇总后，报市</w:t>
      </w:r>
      <w:r>
        <w:rPr>
          <w:rFonts w:hint="eastAsia" w:ascii="仿宋_GB2312" w:hAnsi="宋体" w:eastAsia="仿宋_GB2312" w:cs="宋体"/>
          <w:kern w:val="0"/>
          <w:sz w:val="32"/>
          <w:szCs w:val="32"/>
          <w:lang w:eastAsia="zh-CN"/>
        </w:rPr>
        <w:t>科技局项目受理办</w:t>
      </w:r>
      <w:r>
        <w:rPr>
          <w:rFonts w:hint="eastAsia" w:ascii="仿宋_GB2312" w:hAnsi="Times New Roman" w:eastAsia="仿宋_GB2312"/>
          <w:sz w:val="32"/>
          <w:szCs w:val="32"/>
        </w:rPr>
        <w:t>。</w:t>
      </w:r>
    </w:p>
    <w:p w14:paraId="67F5AC0A">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五、上报材料和时间要求</w:t>
      </w:r>
    </w:p>
    <w:p w14:paraId="119FE5D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楷体_GB2312" w:hAnsi="楷体" w:eastAsia="楷体_GB2312"/>
          <w:sz w:val="32"/>
          <w:szCs w:val="32"/>
        </w:rPr>
      </w:pPr>
      <w:r>
        <w:rPr>
          <w:rFonts w:hint="eastAsia" w:ascii="楷体_GB2312" w:hAnsi="楷体" w:eastAsia="楷体_GB2312"/>
          <w:sz w:val="32"/>
          <w:szCs w:val="32"/>
        </w:rPr>
        <w:t>（一）上报材料</w:t>
      </w:r>
    </w:p>
    <w:p w14:paraId="53877C65">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1.各申报单位按申报系统要求如实填写相关内容；</w:t>
      </w:r>
    </w:p>
    <w:p w14:paraId="73BDBF9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2.申报引进高端外国专家项目的，附件内容应包括：外国专家护照复印件、申报单位和外国专家签署的聘用合同原件、证明外国专家符合申报条件的海外任职证明或知识产权证书等相关材料。请同时附上该专家主要承担项目的项目简介（介绍该项目在行业和专业领域所具有的先进性、前瞻性和引智成果示范推广所能产生的社会效益或经济效益前景等情况），或列入国家、省或市级行业或部门发展规划的有关批件复印件等，以便在高端外国专家年薪评审未通过的情况下，继续参与引进国外智力项目的评审。</w:t>
      </w:r>
    </w:p>
    <w:p w14:paraId="46C224B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3.申报引进国（境）外智力项目的，附件内容应包括：国（境）外专家护照（身份证件）复印件，项目简介（介绍该项目在行业和专业领域所具有的先进性、前瞻性和引智成果示范推广所能产生的社会效益或经济效益前景等情况），或列入国家、省或市级行业或部门发展规划的有关批件复印件等。</w:t>
      </w:r>
    </w:p>
    <w:p w14:paraId="7BDB8F4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4.其他与申报相关的材料可同时作为附件上传。</w:t>
      </w:r>
    </w:p>
    <w:p w14:paraId="5ECB8CA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5.附件材料要求为一个PDF文件，并编写目录和页码。</w:t>
      </w:r>
    </w:p>
    <w:p w14:paraId="26453891">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楷体_GB2312" w:hAnsi="楷体" w:eastAsia="楷体_GB2312"/>
          <w:sz w:val="32"/>
          <w:szCs w:val="32"/>
        </w:rPr>
      </w:pPr>
      <w:r>
        <w:rPr>
          <w:rFonts w:hint="eastAsia" w:ascii="楷体_GB2312" w:hAnsi="楷体" w:eastAsia="楷体_GB2312"/>
          <w:sz w:val="32"/>
          <w:szCs w:val="32"/>
        </w:rPr>
        <w:t>（二）时间要求</w:t>
      </w:r>
    </w:p>
    <w:p w14:paraId="403F94D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20</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6</w:t>
      </w:r>
      <w:r>
        <w:rPr>
          <w:rFonts w:ascii="仿宋_GB2312" w:hAnsi="宋体" w:eastAsia="仿宋_GB2312" w:cs="宋体"/>
          <w:kern w:val="0"/>
          <w:sz w:val="32"/>
          <w:szCs w:val="32"/>
        </w:rPr>
        <w:t>年</w:t>
      </w:r>
      <w:r>
        <w:rPr>
          <w:rFonts w:hint="eastAsia" w:ascii="仿宋_GB2312" w:hAnsi="宋体" w:eastAsia="仿宋_GB2312" w:cs="宋体"/>
          <w:kern w:val="0"/>
          <w:sz w:val="32"/>
          <w:szCs w:val="32"/>
        </w:rPr>
        <w:t>4</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24</w:t>
      </w:r>
      <w:r>
        <w:rPr>
          <w:rFonts w:hint="eastAsia" w:ascii="仿宋_GB2312" w:hAnsi="宋体" w:eastAsia="仿宋_GB2312" w:cs="宋体"/>
          <w:kern w:val="0"/>
          <w:sz w:val="32"/>
          <w:szCs w:val="32"/>
        </w:rPr>
        <w:t>日前，各区、县（市）科技</w:t>
      </w:r>
      <w:r>
        <w:rPr>
          <w:rFonts w:hint="eastAsia" w:ascii="仿宋_GB2312" w:hAnsi="宋体" w:eastAsia="仿宋_GB2312" w:cs="宋体"/>
          <w:kern w:val="0"/>
          <w:sz w:val="32"/>
          <w:szCs w:val="32"/>
          <w:lang w:val="en-US" w:eastAsia="zh-CN"/>
        </w:rPr>
        <w:t>部门</w:t>
      </w:r>
      <w:r>
        <w:rPr>
          <w:rFonts w:hint="eastAsia" w:ascii="仿宋_GB2312" w:hAnsi="宋体" w:eastAsia="仿宋_GB2312" w:cs="宋体"/>
          <w:kern w:val="0"/>
          <w:sz w:val="32"/>
          <w:szCs w:val="32"/>
        </w:rPr>
        <w:t>或市</w:t>
      </w:r>
      <w:r>
        <w:rPr>
          <w:rFonts w:hint="eastAsia" w:ascii="仿宋_GB2312" w:hAnsi="宋体" w:eastAsia="仿宋_GB2312" w:cs="宋体"/>
          <w:kern w:val="0"/>
          <w:sz w:val="32"/>
          <w:szCs w:val="32"/>
          <w:lang w:eastAsia="zh-CN"/>
        </w:rPr>
        <w:t>科技</w:t>
      </w:r>
      <w:r>
        <w:rPr>
          <w:rFonts w:hint="eastAsia" w:ascii="仿宋_GB2312" w:hAnsi="宋体" w:eastAsia="仿宋_GB2312" w:cs="宋体"/>
          <w:kern w:val="0"/>
          <w:sz w:val="32"/>
          <w:szCs w:val="32"/>
          <w:lang w:val="en-US" w:eastAsia="zh-CN"/>
        </w:rPr>
        <w:t>信息研究院</w:t>
      </w:r>
      <w:r>
        <w:rPr>
          <w:rFonts w:hint="eastAsia" w:ascii="仿宋_GB2312" w:hAnsi="宋体" w:eastAsia="仿宋_GB2312" w:cs="宋体"/>
          <w:kern w:val="0"/>
          <w:sz w:val="32"/>
          <w:szCs w:val="32"/>
          <w:lang w:eastAsia="zh-CN"/>
        </w:rPr>
        <w:t>项目</w:t>
      </w:r>
      <w:r>
        <w:rPr>
          <w:rFonts w:hint="eastAsia" w:ascii="仿宋_GB2312" w:hAnsi="宋体" w:eastAsia="仿宋_GB2312" w:cs="宋体"/>
          <w:kern w:val="0"/>
          <w:sz w:val="32"/>
          <w:szCs w:val="32"/>
          <w:lang w:val="en-US" w:eastAsia="zh-CN"/>
        </w:rPr>
        <w:t>管理服务部</w:t>
      </w:r>
      <w:r>
        <w:rPr>
          <w:rFonts w:hint="eastAsia" w:ascii="仿宋_GB2312" w:hAnsi="宋体" w:eastAsia="仿宋_GB2312" w:cs="宋体"/>
          <w:kern w:val="0"/>
          <w:sz w:val="32"/>
          <w:szCs w:val="32"/>
        </w:rPr>
        <w:t>完成网上初审。</w:t>
      </w:r>
    </w:p>
    <w:p w14:paraId="5067921A">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20</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6</w:t>
      </w:r>
      <w:r>
        <w:rPr>
          <w:rFonts w:ascii="仿宋_GB2312" w:hAnsi="宋体" w:eastAsia="仿宋_GB2312" w:cs="宋体"/>
          <w:kern w:val="0"/>
          <w:sz w:val="32"/>
          <w:szCs w:val="32"/>
        </w:rPr>
        <w:t>年</w:t>
      </w:r>
      <w:r>
        <w:rPr>
          <w:rFonts w:hint="eastAsia" w:ascii="仿宋_GB2312" w:hAnsi="宋体" w:eastAsia="仿宋_GB2312" w:cs="宋体"/>
          <w:kern w:val="0"/>
          <w:sz w:val="32"/>
          <w:szCs w:val="32"/>
        </w:rPr>
        <w:t>4</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30</w:t>
      </w:r>
      <w:r>
        <w:rPr>
          <w:rFonts w:hint="eastAsia" w:ascii="仿宋_GB2312" w:hAnsi="宋体" w:eastAsia="仿宋_GB2312" w:cs="宋体"/>
          <w:kern w:val="0"/>
          <w:sz w:val="32"/>
          <w:szCs w:val="32"/>
        </w:rPr>
        <w:t>日前，市</w:t>
      </w:r>
      <w:r>
        <w:rPr>
          <w:rFonts w:hint="eastAsia" w:ascii="仿宋_GB2312" w:hAnsi="宋体" w:eastAsia="仿宋_GB2312" w:cs="宋体"/>
          <w:kern w:val="0"/>
          <w:sz w:val="32"/>
          <w:szCs w:val="32"/>
          <w:lang w:eastAsia="zh-CN"/>
        </w:rPr>
        <w:t>科技</w:t>
      </w:r>
      <w:r>
        <w:rPr>
          <w:rFonts w:hint="eastAsia" w:ascii="仿宋_GB2312" w:hAnsi="宋体" w:eastAsia="仿宋_GB2312" w:cs="宋体"/>
          <w:kern w:val="0"/>
          <w:sz w:val="32"/>
          <w:szCs w:val="32"/>
          <w:lang w:val="en-US" w:eastAsia="zh-CN"/>
        </w:rPr>
        <w:t>信息研究院</w:t>
      </w:r>
      <w:r>
        <w:rPr>
          <w:rFonts w:hint="eastAsia" w:ascii="仿宋_GB2312" w:hAnsi="宋体" w:eastAsia="仿宋_GB2312" w:cs="宋体"/>
          <w:kern w:val="0"/>
          <w:sz w:val="32"/>
          <w:szCs w:val="32"/>
          <w:lang w:eastAsia="zh-CN"/>
        </w:rPr>
        <w:t>项目</w:t>
      </w:r>
      <w:r>
        <w:rPr>
          <w:rFonts w:hint="eastAsia" w:ascii="仿宋_GB2312" w:hAnsi="宋体" w:eastAsia="仿宋_GB2312" w:cs="宋体"/>
          <w:kern w:val="0"/>
          <w:sz w:val="32"/>
          <w:szCs w:val="32"/>
          <w:lang w:val="en-US" w:eastAsia="zh-CN"/>
        </w:rPr>
        <w:t>管理服务部</w:t>
      </w:r>
      <w:r>
        <w:rPr>
          <w:rFonts w:hint="eastAsia" w:ascii="仿宋_GB2312" w:hAnsi="宋体" w:eastAsia="仿宋_GB2312" w:cs="宋体"/>
          <w:kern w:val="0"/>
          <w:sz w:val="32"/>
          <w:szCs w:val="32"/>
        </w:rPr>
        <w:t>完成网上复审。</w:t>
      </w:r>
    </w:p>
    <w:p w14:paraId="062CBA1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20</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6</w:t>
      </w:r>
      <w:r>
        <w:rPr>
          <w:rFonts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5</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日前，</w:t>
      </w:r>
      <w:r>
        <w:rPr>
          <w:rFonts w:hint="eastAsia" w:ascii="仿宋_GB2312" w:hAnsi="Times New Roman" w:eastAsia="仿宋_GB2312"/>
          <w:sz w:val="32"/>
          <w:szCs w:val="32"/>
        </w:rPr>
        <w:t>经区、县（市）科技</w:t>
      </w:r>
      <w:r>
        <w:rPr>
          <w:rFonts w:hint="eastAsia" w:ascii="仿宋_GB2312" w:hAnsi="Times New Roman" w:eastAsia="仿宋_GB2312"/>
          <w:sz w:val="32"/>
          <w:szCs w:val="32"/>
          <w:lang w:val="en-US" w:eastAsia="zh-CN"/>
        </w:rPr>
        <w:t>部门</w:t>
      </w:r>
      <w:r>
        <w:rPr>
          <w:rFonts w:hint="eastAsia" w:ascii="仿宋_GB2312" w:hAnsi="Times New Roman" w:eastAsia="仿宋_GB2312"/>
          <w:sz w:val="32"/>
          <w:szCs w:val="32"/>
        </w:rPr>
        <w:t>会同属地财政部门或市直主管部门确认汇总后，将纸质材料一式一份报市</w:t>
      </w:r>
      <w:r>
        <w:rPr>
          <w:rFonts w:hint="eastAsia" w:ascii="仿宋_GB2312" w:hAnsi="宋体" w:eastAsia="仿宋_GB2312" w:cs="宋体"/>
          <w:kern w:val="0"/>
          <w:sz w:val="32"/>
          <w:szCs w:val="32"/>
          <w:lang w:eastAsia="zh-CN"/>
        </w:rPr>
        <w:t>科技</w:t>
      </w:r>
      <w:r>
        <w:rPr>
          <w:rFonts w:hint="eastAsia" w:ascii="仿宋_GB2312" w:hAnsi="宋体" w:eastAsia="仿宋_GB2312" w:cs="宋体"/>
          <w:kern w:val="0"/>
          <w:sz w:val="32"/>
          <w:szCs w:val="32"/>
          <w:lang w:val="en-US" w:eastAsia="zh-CN"/>
        </w:rPr>
        <w:t>信息研究院</w:t>
      </w:r>
      <w:r>
        <w:rPr>
          <w:rFonts w:hint="eastAsia" w:ascii="仿宋_GB2312" w:hAnsi="宋体" w:eastAsia="仿宋_GB2312" w:cs="宋体"/>
          <w:kern w:val="0"/>
          <w:sz w:val="32"/>
          <w:szCs w:val="32"/>
          <w:lang w:eastAsia="zh-CN"/>
        </w:rPr>
        <w:t>项目</w:t>
      </w:r>
      <w:r>
        <w:rPr>
          <w:rFonts w:hint="eastAsia" w:ascii="仿宋_GB2312" w:hAnsi="宋体" w:eastAsia="仿宋_GB2312" w:cs="宋体"/>
          <w:kern w:val="0"/>
          <w:sz w:val="32"/>
          <w:szCs w:val="32"/>
          <w:lang w:val="en-US" w:eastAsia="zh-CN"/>
        </w:rPr>
        <w:t>管理服务部</w:t>
      </w:r>
      <w:r>
        <w:rPr>
          <w:rFonts w:hint="eastAsia" w:ascii="仿宋_GB2312" w:hAnsi="Times New Roman" w:eastAsia="仿宋_GB2312"/>
          <w:sz w:val="32"/>
          <w:szCs w:val="32"/>
        </w:rPr>
        <w:t>。</w:t>
      </w:r>
    </w:p>
    <w:p w14:paraId="48D90D31">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六、其他事项</w:t>
      </w:r>
    </w:p>
    <w:p w14:paraId="049B38E2">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申报单位需系统上传市“115”项目诚信承诺书盖章件。立项后入选本计划的外国专家需办理外国人来华工作许可（含短期来华工作许可）等证件，办理途径可参考《浙江省外国人来华工作许可服务指南》（浙外专发[2019]9号）。</w:t>
      </w:r>
    </w:p>
    <w:p w14:paraId="75F4F322">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仿宋_GB2312"/>
          <w:sz w:val="32"/>
          <w:szCs w:val="20"/>
        </w:rPr>
      </w:pPr>
      <w:r>
        <w:rPr>
          <w:rFonts w:hint="eastAsia" w:ascii="仿宋_GB2312" w:hAnsi="Times New Roman" w:eastAsia="仿宋_GB2312"/>
          <w:sz w:val="32"/>
          <w:szCs w:val="32"/>
          <w:lang w:val="en-US" w:eastAsia="zh-CN"/>
        </w:rPr>
        <w:t>系统技术咨询</w:t>
      </w:r>
      <w:r>
        <w:rPr>
          <w:rFonts w:hint="eastAsia" w:ascii="仿宋_GB2312" w:hAnsi="Times New Roman" w:eastAsia="仿宋_GB2312"/>
          <w:sz w:val="32"/>
          <w:szCs w:val="32"/>
        </w:rPr>
        <w:t>电话：</w:t>
      </w:r>
      <w:r>
        <w:rPr>
          <w:rFonts w:hint="eastAsia" w:ascii="仿宋_GB2312" w:hAnsi="仿宋_GB2312" w:eastAsia="仿宋_GB2312" w:cs="仿宋_GB2312"/>
          <w:sz w:val="32"/>
          <w:szCs w:val="20"/>
        </w:rPr>
        <w:t>85151402</w:t>
      </w:r>
    </w:p>
    <w:p w14:paraId="1EC625D1">
      <w:pPr>
        <w:keepNext w:val="0"/>
        <w:keepLines w:val="0"/>
        <w:pageBreakBefore w:val="0"/>
        <w:widowControl w:val="0"/>
        <w:kinsoku/>
        <w:wordWrap/>
        <w:overflowPunct/>
        <w:topLinePunct w:val="0"/>
        <w:autoSpaceDE/>
        <w:autoSpaceDN/>
        <w:bidi w:val="0"/>
        <w:spacing w:line="550" w:lineRule="exact"/>
        <w:jc w:val="both"/>
        <w:textAlignment w:val="auto"/>
      </w:pPr>
    </w:p>
    <w:p w14:paraId="41405D44">
      <w:pPr>
        <w:keepNext w:val="0"/>
        <w:keepLines w:val="0"/>
        <w:pageBreakBefore w:val="0"/>
        <w:widowControl w:val="0"/>
        <w:kinsoku/>
        <w:wordWrap/>
        <w:overflowPunct/>
        <w:topLinePunct w:val="0"/>
        <w:autoSpaceDE/>
        <w:autoSpaceDN/>
        <w:bidi w:val="0"/>
        <w:spacing w:line="550" w:lineRule="exact"/>
        <w:jc w:val="both"/>
        <w:textAlignment w:val="auto"/>
        <w:rPr>
          <w:rFonts w:hint="default" w:eastAsia="宋体"/>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7" w:h="16840"/>
      <w:pgMar w:top="1701" w:right="1588" w:bottom="1701" w:left="1588" w:header="0" w:footer="1588"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E19A">
    <w:pPr>
      <w:pStyle w:val="3"/>
      <w:framePr w:wrap="around" w:vAnchor="text" w:hAnchor="margin" w:xAlign="outside" w:y="1"/>
      <w:ind w:left="210" w:leftChars="100" w:right="210" w:rightChars="100" w:firstLine="0" w:firstLineChars="0"/>
      <w:rPr>
        <w:rStyle w:val="7"/>
        <w:sz w:val="28"/>
      </w:rPr>
    </w:pPr>
    <w:r>
      <w:rPr>
        <w:rStyle w:val="7"/>
        <w:rFonts w:hint="eastAsia"/>
        <w:sz w:val="28"/>
      </w:rPr>
      <w:t xml:space="preserve">— </w:t>
    </w:r>
    <w:r>
      <w:rPr>
        <w:sz w:val="28"/>
      </w:rPr>
      <w:fldChar w:fldCharType="begin"/>
    </w:r>
    <w:r>
      <w:rPr>
        <w:rStyle w:val="7"/>
        <w:sz w:val="28"/>
      </w:rPr>
      <w:instrText xml:space="preserve">PAGE  </w:instrText>
    </w:r>
    <w:r>
      <w:rPr>
        <w:sz w:val="28"/>
      </w:rPr>
      <w:fldChar w:fldCharType="separate"/>
    </w:r>
    <w:r>
      <w:rPr>
        <w:rStyle w:val="7"/>
        <w:sz w:val="28"/>
      </w:rPr>
      <w:t>1</w:t>
    </w:r>
    <w:r>
      <w:rPr>
        <w:sz w:val="28"/>
      </w:rPr>
      <w:fldChar w:fldCharType="end"/>
    </w:r>
    <w:r>
      <w:rPr>
        <w:rStyle w:val="7"/>
        <w:rFonts w:hint="eastAsia"/>
        <w:sz w:val="28"/>
      </w:rPr>
      <w:t xml:space="preserve"> — </w:t>
    </w:r>
  </w:p>
  <w:p w14:paraId="5EC12C1B">
    <w:pPr>
      <w:pStyle w:val="3"/>
      <w:ind w:right="237" w:rightChars="113"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FE6B">
    <w:pPr>
      <w:pStyle w:val="3"/>
      <w:framePr w:wrap="around" w:vAnchor="text" w:hAnchor="margin" w:xAlign="outside" w:y="1"/>
      <w:ind w:firstLine="360"/>
      <w:rPr>
        <w:rStyle w:val="7"/>
      </w:rPr>
    </w:pPr>
    <w:r>
      <w:fldChar w:fldCharType="begin"/>
    </w:r>
    <w:r>
      <w:rPr>
        <w:rStyle w:val="7"/>
      </w:rPr>
      <w:instrText xml:space="preserve">PAGE  </w:instrText>
    </w:r>
    <w:r>
      <w:fldChar w:fldCharType="end"/>
    </w:r>
  </w:p>
  <w:p w14:paraId="13A03161">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833E6">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8F90">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5688">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855E">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hYzU0NTQyOWY3YTUxOGU4MzcyYzQ0NmEyYWY5ZjEifQ=="/>
  </w:docVars>
  <w:rsids>
    <w:rsidRoot w:val="004B6CDF"/>
    <w:rsid w:val="00164252"/>
    <w:rsid w:val="004B6CDF"/>
    <w:rsid w:val="008D053E"/>
    <w:rsid w:val="05D90AEF"/>
    <w:rsid w:val="1070078F"/>
    <w:rsid w:val="11490580"/>
    <w:rsid w:val="1BB554BE"/>
    <w:rsid w:val="1FCC5C14"/>
    <w:rsid w:val="23F01FE3"/>
    <w:rsid w:val="24227602"/>
    <w:rsid w:val="25CB66AA"/>
    <w:rsid w:val="26A2088F"/>
    <w:rsid w:val="2AE34714"/>
    <w:rsid w:val="38963B20"/>
    <w:rsid w:val="39227992"/>
    <w:rsid w:val="485A1F65"/>
    <w:rsid w:val="4AED4722"/>
    <w:rsid w:val="4C253903"/>
    <w:rsid w:val="54520EFE"/>
    <w:rsid w:val="574865E8"/>
    <w:rsid w:val="594D4801"/>
    <w:rsid w:val="5C00043D"/>
    <w:rsid w:val="61A657A4"/>
    <w:rsid w:val="6D601922"/>
    <w:rsid w:val="6D785A21"/>
    <w:rsid w:val="6E7A4C25"/>
    <w:rsid w:val="7039194C"/>
    <w:rsid w:val="72594390"/>
    <w:rsid w:val="76B9162A"/>
    <w:rsid w:val="7944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0"/>
    <w:pPr>
      <w:spacing w:after="120"/>
    </w:pPr>
    <w:rPr>
      <w:rFonts w:ascii="Times New Roman" w:hAnsi="Times New Roman"/>
      <w:szCs w:val="20"/>
    </w:rPr>
  </w:style>
  <w:style w:type="paragraph" w:styleId="3">
    <w:name w:val="footer"/>
    <w:basedOn w:val="1"/>
    <w:link w:val="9"/>
    <w:autoRedefine/>
    <w:qFormat/>
    <w:uiPriority w:val="0"/>
    <w:pPr>
      <w:tabs>
        <w:tab w:val="center" w:pos="4153"/>
        <w:tab w:val="right" w:pos="8306"/>
      </w:tabs>
      <w:adjustRightInd w:val="0"/>
      <w:snapToGrid w:val="0"/>
      <w:ind w:firstLine="200" w:firstLineChars="200"/>
      <w:jc w:val="left"/>
    </w:pPr>
    <w:rPr>
      <w:rFonts w:ascii="Times New Roman" w:hAnsi="Times New Roman" w:eastAsia="仿宋_GB2312"/>
      <w:sz w:val="18"/>
      <w:szCs w:val="18"/>
    </w:rPr>
  </w:style>
  <w:style w:type="paragraph" w:styleId="4">
    <w:name w:val="header"/>
    <w:basedOn w:val="1"/>
    <w:link w:val="10"/>
    <w:autoRedefine/>
    <w:qFormat/>
    <w:uiPriority w:val="0"/>
    <w:pPr>
      <w:pBdr>
        <w:bottom w:val="single" w:color="auto" w:sz="6" w:space="1"/>
      </w:pBdr>
      <w:tabs>
        <w:tab w:val="center" w:pos="4153"/>
        <w:tab w:val="right" w:pos="8306"/>
      </w:tabs>
      <w:adjustRightInd w:val="0"/>
      <w:snapToGrid w:val="0"/>
      <w:ind w:firstLine="200" w:firstLineChars="200"/>
      <w:jc w:val="center"/>
    </w:pPr>
    <w:rPr>
      <w:rFonts w:ascii="Times New Roman" w:hAnsi="Times New Roman" w:eastAsia="仿宋_GB2312"/>
      <w:sz w:val="18"/>
      <w:szCs w:val="18"/>
    </w:rPr>
  </w:style>
  <w:style w:type="character" w:styleId="7">
    <w:name w:val="page number"/>
    <w:basedOn w:val="6"/>
    <w:autoRedefine/>
    <w:qFormat/>
    <w:uiPriority w:val="0"/>
  </w:style>
  <w:style w:type="character" w:styleId="8">
    <w:name w:val="Hyperlink"/>
    <w:basedOn w:val="6"/>
    <w:autoRedefine/>
    <w:semiHidden/>
    <w:unhideWhenUsed/>
    <w:qFormat/>
    <w:uiPriority w:val="99"/>
    <w:rPr>
      <w:color w:val="0000FF"/>
      <w:u w:val="single"/>
    </w:rPr>
  </w:style>
  <w:style w:type="character" w:customStyle="1" w:styleId="9">
    <w:name w:val="页脚 Char"/>
    <w:basedOn w:val="6"/>
    <w:link w:val="3"/>
    <w:autoRedefine/>
    <w:qFormat/>
    <w:uiPriority w:val="0"/>
    <w:rPr>
      <w:rFonts w:ascii="Times New Roman" w:hAnsi="Times New Roman" w:eastAsia="仿宋_GB2312" w:cs="Times New Roman"/>
      <w:sz w:val="18"/>
      <w:szCs w:val="18"/>
    </w:rPr>
  </w:style>
  <w:style w:type="character" w:customStyle="1" w:styleId="10">
    <w:name w:val="页眉 Char"/>
    <w:basedOn w:val="6"/>
    <w:link w:val="4"/>
    <w:autoRedefine/>
    <w:qFormat/>
    <w:uiPriority w:val="0"/>
    <w:rPr>
      <w:rFonts w:ascii="Times New Roman" w:hAnsi="Times New Roman" w:eastAsia="仿宋_GB2312" w:cs="Times New Roman"/>
      <w:sz w:val="18"/>
      <w:szCs w:val="18"/>
    </w:rPr>
  </w:style>
  <w:style w:type="character" w:customStyle="1" w:styleId="11">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1813</Words>
  <Characters>1903</Characters>
  <Lines>17</Lines>
  <Paragraphs>5</Paragraphs>
  <TotalTime>25</TotalTime>
  <ScaleCrop>false</ScaleCrop>
  <LinksUpToDate>false</LinksUpToDate>
  <CharactersWithSpaces>1906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2021-01-14T01:25:00Z</dcterms:created>
  <dc:creator>何宣妃</dc:creator>
  <cp:lastModifiedBy>狗尾草</cp:lastModifiedBy>
  <cp:lastPrinted>2024-02-02T02:08:00Z</cp:lastPrinted>
  <dcterms:modified xsi:type="dcterms:W3CDTF">2026-03-03T08:21:44Z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A59C77B0D3B94DEFA0FA3A939C2552D3_13</vt:lpwstr>
  </property>
  <property fmtid="{D5CDD505-2E9C-101B-9397-08002B2CF9AE}" pid="4" name="KSOTemplateDocerSaveRecord">
    <vt:lpwstr>eyJoZGlkIjoiYzNlNTdhNGE0ZGZiZGIzODhiNjIxZWRkMzEwM2Q0YjMiLCJ1c2VySWQiOiIzODM3MDE0OTcifQ==</vt:lpwstr>
  </property>
</Properties>
</file>